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0F5B" w14:textId="77777777" w:rsidR="00A55599" w:rsidRPr="00A70A02" w:rsidRDefault="00A55599" w:rsidP="00A55599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bookmarkStart w:id="0" w:name="_Hlk67917640"/>
      <w:r w:rsidRPr="00A70A02">
        <w:rPr>
          <w:rFonts w:ascii="Arial" w:hAnsi="Arial" w:cs="Arial"/>
          <w:sz w:val="22"/>
          <w:szCs w:val="22"/>
        </w:rPr>
        <w:t>§ 7</w:t>
      </w:r>
      <w:r>
        <w:rPr>
          <w:rFonts w:ascii="Arial" w:hAnsi="Arial" w:cs="Arial"/>
          <w:sz w:val="22"/>
          <w:szCs w:val="22"/>
        </w:rPr>
        <w:t>3</w:t>
      </w:r>
    </w:p>
    <w:p w14:paraId="186C028F" w14:textId="77777777" w:rsidR="00A55599" w:rsidRPr="000D195A" w:rsidRDefault="00A55599" w:rsidP="00A5559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417CF0" w14:textId="5FB86C3C" w:rsidR="000E7868" w:rsidRPr="009B51D8" w:rsidRDefault="00A55599" w:rsidP="00A55599">
      <w:pPr>
        <w:pStyle w:val="Akapitzlist"/>
        <w:numPr>
          <w:ilvl w:val="4"/>
          <w:numId w:val="2"/>
        </w:numPr>
        <w:spacing w:after="16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9B51D8">
        <w:rPr>
          <w:rFonts w:ascii="Arial" w:hAnsi="Arial" w:cs="Arial"/>
          <w:sz w:val="22"/>
          <w:szCs w:val="22"/>
          <w:highlight w:val="yellow"/>
        </w:rPr>
        <w:t>Pracownikom Spółki przekazującym umiejętności i kompetencje</w:t>
      </w:r>
      <w:r w:rsidR="000E7868" w:rsidRPr="009B51D8">
        <w:rPr>
          <w:rFonts w:ascii="Arial" w:hAnsi="Arial" w:cs="Arial"/>
          <w:sz w:val="22"/>
          <w:szCs w:val="22"/>
          <w:highlight w:val="yellow"/>
        </w:rPr>
        <w:t>:</w:t>
      </w:r>
    </w:p>
    <w:p w14:paraId="72C1C9AF" w14:textId="77777777" w:rsidR="000E7868" w:rsidRPr="009B51D8" w:rsidRDefault="00A55599" w:rsidP="001D456E">
      <w:pPr>
        <w:pStyle w:val="Akapitzlist"/>
        <w:numPr>
          <w:ilvl w:val="0"/>
          <w:numId w:val="6"/>
        </w:numPr>
        <w:spacing w:after="160" w:line="360" w:lineRule="auto"/>
        <w:ind w:left="851" w:hanging="425"/>
        <w:jc w:val="both"/>
        <w:rPr>
          <w:rFonts w:ascii="Arial" w:hAnsi="Arial" w:cs="Arial"/>
          <w:sz w:val="22"/>
          <w:szCs w:val="22"/>
          <w:highlight w:val="yellow"/>
        </w:rPr>
      </w:pPr>
      <w:r w:rsidRPr="009B51D8">
        <w:rPr>
          <w:rFonts w:ascii="Arial" w:hAnsi="Arial" w:cs="Arial"/>
          <w:sz w:val="22"/>
          <w:szCs w:val="22"/>
          <w:highlight w:val="yellow"/>
        </w:rPr>
        <w:t>osobom nowozatrudnionym na stanowiskach robotniczych</w:t>
      </w:r>
      <w:r w:rsidR="00D927DC" w:rsidRPr="009B51D8">
        <w:rPr>
          <w:rFonts w:ascii="Arial" w:hAnsi="Arial" w:cs="Arial"/>
          <w:sz w:val="22"/>
          <w:szCs w:val="22"/>
          <w:highlight w:val="yellow"/>
        </w:rPr>
        <w:t xml:space="preserve"> lub nierobotniczych</w:t>
      </w:r>
      <w:r w:rsidRPr="009B51D8">
        <w:rPr>
          <w:rFonts w:ascii="Arial" w:hAnsi="Arial" w:cs="Arial"/>
          <w:sz w:val="22"/>
          <w:szCs w:val="22"/>
          <w:highlight w:val="yellow"/>
        </w:rPr>
        <w:t>, które przed zatrudnieniem nie wykonywały pracy na rzecz Spółki</w:t>
      </w:r>
      <w:r w:rsidR="000E7868" w:rsidRPr="009B51D8">
        <w:rPr>
          <w:rFonts w:ascii="Arial" w:hAnsi="Arial" w:cs="Arial"/>
          <w:sz w:val="22"/>
          <w:szCs w:val="22"/>
          <w:highlight w:val="yellow"/>
        </w:rPr>
        <w:t>,</w:t>
      </w:r>
    </w:p>
    <w:p w14:paraId="2958CBCC" w14:textId="78F58B81" w:rsidR="00406404" w:rsidRPr="009B51D8" w:rsidRDefault="000E7868" w:rsidP="001D456E">
      <w:pPr>
        <w:pStyle w:val="Akapitzlist"/>
        <w:numPr>
          <w:ilvl w:val="0"/>
          <w:numId w:val="6"/>
        </w:numPr>
        <w:spacing w:after="160" w:line="360" w:lineRule="auto"/>
        <w:ind w:left="851" w:hanging="425"/>
        <w:jc w:val="both"/>
        <w:rPr>
          <w:rFonts w:ascii="Arial" w:hAnsi="Arial" w:cs="Arial"/>
          <w:sz w:val="22"/>
          <w:szCs w:val="22"/>
          <w:highlight w:val="yellow"/>
        </w:rPr>
      </w:pPr>
      <w:bookmarkStart w:id="1" w:name="_Hlk128661233"/>
      <w:r w:rsidRPr="009B51D8">
        <w:rPr>
          <w:rFonts w:ascii="Arial" w:hAnsi="Arial" w:cs="Arial"/>
          <w:sz w:val="22"/>
          <w:szCs w:val="22"/>
          <w:highlight w:val="yellow"/>
        </w:rPr>
        <w:t>osobom</w:t>
      </w:r>
      <w:r w:rsidR="00756501" w:rsidRPr="009B51D8">
        <w:rPr>
          <w:rFonts w:ascii="Arial" w:hAnsi="Arial" w:cs="Arial"/>
          <w:sz w:val="22"/>
          <w:szCs w:val="22"/>
          <w:highlight w:val="yellow"/>
        </w:rPr>
        <w:t xml:space="preserve"> na stanowiskach robotniczych</w:t>
      </w:r>
      <w:r w:rsidRPr="009B51D8">
        <w:rPr>
          <w:rFonts w:ascii="Arial" w:hAnsi="Arial" w:cs="Arial"/>
          <w:sz w:val="22"/>
          <w:szCs w:val="22"/>
          <w:highlight w:val="yellow"/>
        </w:rPr>
        <w:t xml:space="preserve">, które </w:t>
      </w:r>
      <w:r w:rsidR="00FB0621" w:rsidRPr="009B51D8">
        <w:rPr>
          <w:rFonts w:ascii="Arial" w:hAnsi="Arial" w:cs="Arial"/>
          <w:sz w:val="22"/>
          <w:szCs w:val="22"/>
          <w:highlight w:val="yellow"/>
        </w:rPr>
        <w:t>w ramach</w:t>
      </w:r>
      <w:r w:rsidRPr="009B51D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B0621" w:rsidRPr="009B51D8">
        <w:rPr>
          <w:rFonts w:ascii="Arial" w:hAnsi="Arial" w:cs="Arial"/>
          <w:sz w:val="22"/>
          <w:szCs w:val="22"/>
          <w:highlight w:val="yellow"/>
        </w:rPr>
        <w:t>rekrutacji wewnętrznej zostają zatrudnione na innym stanowisku</w:t>
      </w:r>
      <w:r w:rsidR="00217155" w:rsidRPr="009B51D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B0621" w:rsidRPr="009B51D8">
        <w:rPr>
          <w:rFonts w:ascii="Arial" w:hAnsi="Arial" w:cs="Arial"/>
          <w:sz w:val="22"/>
          <w:szCs w:val="22"/>
          <w:highlight w:val="yellow"/>
        </w:rPr>
        <w:t>w innym Zakładzie niż Zakład dotychczas zatrudniający pracownika,</w:t>
      </w:r>
    </w:p>
    <w:bookmarkEnd w:id="1"/>
    <w:p w14:paraId="14B590FD" w14:textId="197EC64A" w:rsidR="00D927DC" w:rsidRDefault="00406404" w:rsidP="001D456E">
      <w:pPr>
        <w:pStyle w:val="Akapitzlist"/>
        <w:numPr>
          <w:ilvl w:val="0"/>
          <w:numId w:val="6"/>
        </w:numPr>
        <w:spacing w:line="360" w:lineRule="auto"/>
        <w:ind w:left="850" w:hanging="425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9B51D8">
        <w:rPr>
          <w:rFonts w:ascii="Arial" w:hAnsi="Arial" w:cs="Arial"/>
          <w:color w:val="000000" w:themeColor="text1"/>
          <w:sz w:val="22"/>
          <w:szCs w:val="22"/>
          <w:highlight w:val="yellow"/>
        </w:rPr>
        <w:t>o</w:t>
      </w:r>
      <w:r w:rsidR="00D927DC" w:rsidRPr="009B51D8">
        <w:rPr>
          <w:rFonts w:ascii="Arial" w:hAnsi="Arial" w:cs="Arial"/>
          <w:color w:val="000000" w:themeColor="text1"/>
          <w:sz w:val="22"/>
          <w:szCs w:val="22"/>
          <w:highlight w:val="yellow"/>
        </w:rPr>
        <w:t>sobom na stanowiskach nierobotniczych, które w ramach rekrutacji wewnętrznej zostają zatrudnione w innym Zakładzie lub Biurze niż Zakład lub Biuro dotychczas zatrudniające pracownika, a praca wykonywana jest pracą innego rodzaju w stosunku do wykonywanej wcześniej.</w:t>
      </w:r>
    </w:p>
    <w:p w14:paraId="504084C1" w14:textId="7EF2FAB1" w:rsidR="00515901" w:rsidRPr="007B68F7" w:rsidRDefault="007B68F7" w:rsidP="001D456E">
      <w:pPr>
        <w:pStyle w:val="Akapitzlist"/>
        <w:numPr>
          <w:ilvl w:val="0"/>
          <w:numId w:val="6"/>
        </w:numPr>
        <w:spacing w:line="360" w:lineRule="auto"/>
        <w:ind w:left="850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</w:pPr>
      <w:r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o</w:t>
      </w:r>
      <w:r w:rsidR="00986512" w:rsidRPr="007B68F7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sobom </w:t>
      </w:r>
      <w:r w:rsidR="0027350E" w:rsidRPr="007B68F7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na stanowiskach robotniczych, które w ramach rekrutacji wewnętrznej </w:t>
      </w:r>
      <w:r w:rsidR="00FE5E74" w:rsidRPr="007B68F7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zostają zatrudnieni na innym stanowisku </w:t>
      </w:r>
      <w:r w:rsidR="00461B72" w:rsidRPr="007B68F7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w dotychczasowym zakładzie, a praca wykonywana jest pracą innego </w:t>
      </w:r>
      <w:r w:rsidRPr="007B68F7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rodzaju w stosunku do wykonywanej wcześniej</w:t>
      </w:r>
    </w:p>
    <w:p w14:paraId="5E2F1AC1" w14:textId="62479D69" w:rsidR="000E7868" w:rsidRPr="009B51D8" w:rsidRDefault="000E7868" w:rsidP="000E7868">
      <w:pPr>
        <w:pStyle w:val="Akapitzlist"/>
        <w:spacing w:after="160" w:line="360" w:lineRule="auto"/>
        <w:ind w:left="360" w:firstLine="0"/>
        <w:jc w:val="both"/>
        <w:rPr>
          <w:rFonts w:ascii="Arial" w:hAnsi="Arial" w:cs="Arial"/>
          <w:sz w:val="22"/>
          <w:szCs w:val="22"/>
          <w:highlight w:val="yellow"/>
        </w:rPr>
      </w:pPr>
      <w:bookmarkStart w:id="2" w:name="_Hlk65498721"/>
      <w:r w:rsidRPr="009B51D8">
        <w:rPr>
          <w:rFonts w:ascii="Arial" w:hAnsi="Arial" w:cs="Arial"/>
          <w:sz w:val="22"/>
          <w:szCs w:val="22"/>
          <w:highlight w:val="yellow"/>
        </w:rPr>
        <w:t xml:space="preserve">oraz wdrażającym w/w osoby do pracy (tzw. szkolenie stanowiskowe lub mentoring) - zwanym dalej „Mentorami”, przysługuje „Dodatek Mentorski”. </w:t>
      </w:r>
    </w:p>
    <w:p w14:paraId="46F56CB6" w14:textId="3492D2CB" w:rsidR="00FB0621" w:rsidRPr="009B51D8" w:rsidRDefault="00FB0621" w:rsidP="00A55599">
      <w:pPr>
        <w:pStyle w:val="Akapitzlist"/>
        <w:numPr>
          <w:ilvl w:val="4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9B51D8">
        <w:rPr>
          <w:rFonts w:ascii="Arial" w:hAnsi="Arial" w:cs="Arial"/>
          <w:sz w:val="22"/>
          <w:szCs w:val="22"/>
          <w:highlight w:val="yellow"/>
        </w:rPr>
        <w:t xml:space="preserve">Dodatek mentorski nie przysługuje w sytuacji powrotu pracownika na miejsce pracy, na którym był zatrudniony w ciągu </w:t>
      </w:r>
      <w:r w:rsidR="00D61088" w:rsidRPr="009B51D8">
        <w:rPr>
          <w:rFonts w:ascii="Arial" w:hAnsi="Arial" w:cs="Arial"/>
          <w:sz w:val="22"/>
          <w:szCs w:val="22"/>
          <w:highlight w:val="yellow"/>
        </w:rPr>
        <w:t xml:space="preserve">2 </w:t>
      </w:r>
      <w:r w:rsidRPr="009B51D8">
        <w:rPr>
          <w:rFonts w:ascii="Arial" w:hAnsi="Arial" w:cs="Arial"/>
          <w:sz w:val="22"/>
          <w:szCs w:val="22"/>
          <w:highlight w:val="yellow"/>
        </w:rPr>
        <w:t>lat wcześniej.</w:t>
      </w:r>
    </w:p>
    <w:p w14:paraId="6FC7B53B" w14:textId="70F02266" w:rsidR="00A55599" w:rsidRPr="000D195A" w:rsidRDefault="00A55599" w:rsidP="00A55599">
      <w:pPr>
        <w:pStyle w:val="Akapitzlist"/>
        <w:numPr>
          <w:ilvl w:val="4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95A">
        <w:rPr>
          <w:rFonts w:ascii="Arial" w:hAnsi="Arial" w:cs="Arial"/>
          <w:sz w:val="22"/>
          <w:szCs w:val="22"/>
        </w:rPr>
        <w:t xml:space="preserve">Dodatek Mentorski wynosi </w:t>
      </w:r>
      <w:r w:rsidRPr="009B51D8">
        <w:rPr>
          <w:rFonts w:ascii="Arial" w:hAnsi="Arial" w:cs="Arial"/>
          <w:sz w:val="22"/>
          <w:szCs w:val="22"/>
          <w:highlight w:val="yellow"/>
        </w:rPr>
        <w:t>3</w:t>
      </w:r>
      <w:r w:rsidR="00D61088" w:rsidRPr="009B51D8">
        <w:rPr>
          <w:rFonts w:ascii="Arial" w:hAnsi="Arial" w:cs="Arial"/>
          <w:sz w:val="22"/>
          <w:szCs w:val="22"/>
          <w:highlight w:val="yellow"/>
        </w:rPr>
        <w:t>60</w:t>
      </w:r>
      <w:r w:rsidRPr="009B51D8">
        <w:rPr>
          <w:rFonts w:ascii="Arial" w:hAnsi="Arial" w:cs="Arial"/>
          <w:sz w:val="22"/>
          <w:szCs w:val="22"/>
          <w:highlight w:val="yellow"/>
        </w:rPr>
        <w:t xml:space="preserve"> zł / miesiąc</w:t>
      </w:r>
      <w:r w:rsidRPr="000D195A">
        <w:rPr>
          <w:rFonts w:ascii="Arial" w:hAnsi="Arial" w:cs="Arial"/>
          <w:sz w:val="22"/>
          <w:szCs w:val="22"/>
        </w:rPr>
        <w:t xml:space="preserve"> i przysługuje przez okres nie dłuższy niż 3 miesiące od dnia zatrudnienia </w:t>
      </w:r>
      <w:r>
        <w:rPr>
          <w:rFonts w:ascii="Arial" w:hAnsi="Arial" w:cs="Arial"/>
          <w:sz w:val="22"/>
          <w:szCs w:val="22"/>
        </w:rPr>
        <w:t>osoby</w:t>
      </w:r>
      <w:r w:rsidRPr="000D195A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 xml:space="preserve">ej </w:t>
      </w:r>
      <w:r w:rsidRPr="000D195A">
        <w:rPr>
          <w:rFonts w:ascii="Arial" w:hAnsi="Arial" w:cs="Arial"/>
          <w:sz w:val="22"/>
          <w:szCs w:val="22"/>
        </w:rPr>
        <w:t>mowa w ust.1.</w:t>
      </w:r>
    </w:p>
    <w:p w14:paraId="5B809D95" w14:textId="77777777" w:rsidR="00A55599" w:rsidRPr="000D195A" w:rsidRDefault="00A55599" w:rsidP="00A55599">
      <w:pPr>
        <w:pStyle w:val="Akapitzlist"/>
        <w:numPr>
          <w:ilvl w:val="4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Hlk63349307"/>
      <w:r w:rsidRPr="00A70A02">
        <w:rPr>
          <w:rFonts w:ascii="Arial" w:hAnsi="Arial" w:cs="Arial"/>
          <w:sz w:val="22"/>
          <w:szCs w:val="22"/>
        </w:rPr>
        <w:t>Wysokość Dodatku Mentorskiego jest corocznie waloryzowana o wskaźnik inflacji za rok poprzedzający dokonanie waloryzacji, podany przez GUS.</w:t>
      </w:r>
      <w:bookmarkEnd w:id="3"/>
    </w:p>
    <w:p w14:paraId="702A455A" w14:textId="77777777" w:rsidR="00A55599" w:rsidRPr="000D195A" w:rsidRDefault="00A55599" w:rsidP="00A55599">
      <w:pPr>
        <w:pStyle w:val="Akapitzlist"/>
        <w:numPr>
          <w:ilvl w:val="4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95A">
        <w:rPr>
          <w:rFonts w:ascii="Arial" w:hAnsi="Arial" w:cs="Arial"/>
          <w:sz w:val="22"/>
          <w:szCs w:val="22"/>
        </w:rPr>
        <w:t>Decyzję o:</w:t>
      </w:r>
    </w:p>
    <w:p w14:paraId="20B380F0" w14:textId="77777777" w:rsidR="00A55599" w:rsidRPr="000D195A" w:rsidRDefault="00A55599" w:rsidP="00A55599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D195A">
        <w:rPr>
          <w:rFonts w:ascii="Arial" w:hAnsi="Arial" w:cs="Arial"/>
          <w:sz w:val="22"/>
          <w:szCs w:val="22"/>
        </w:rPr>
        <w:t xml:space="preserve">wyznaczeniu Mentora/Mentorów </w:t>
      </w:r>
      <w:r>
        <w:rPr>
          <w:rFonts w:ascii="Arial" w:hAnsi="Arial" w:cs="Arial"/>
          <w:sz w:val="22"/>
          <w:szCs w:val="22"/>
        </w:rPr>
        <w:t>osoby</w:t>
      </w:r>
      <w:r w:rsidRPr="000D195A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>ej</w:t>
      </w:r>
      <w:r w:rsidRPr="000D195A">
        <w:rPr>
          <w:rFonts w:ascii="Arial" w:hAnsi="Arial" w:cs="Arial"/>
          <w:sz w:val="22"/>
          <w:szCs w:val="22"/>
        </w:rPr>
        <w:t xml:space="preserve"> mowa w ust.1. wraz </w:t>
      </w:r>
      <w:r w:rsidRPr="000D195A">
        <w:rPr>
          <w:rFonts w:ascii="Arial" w:hAnsi="Arial" w:cs="Arial"/>
          <w:sz w:val="22"/>
          <w:szCs w:val="22"/>
        </w:rPr>
        <w:br/>
        <w:t>z określeniem czasokresu, za który przysługuje Dodatek Mentorski (od 1 do 3 miesięcy),</w:t>
      </w:r>
    </w:p>
    <w:p w14:paraId="216638C0" w14:textId="77777777" w:rsidR="00A55599" w:rsidRPr="000D195A" w:rsidRDefault="00A55599" w:rsidP="00A55599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D195A">
        <w:rPr>
          <w:rFonts w:ascii="Arial" w:hAnsi="Arial" w:cs="Arial"/>
          <w:sz w:val="22"/>
          <w:szCs w:val="22"/>
        </w:rPr>
        <w:t>przyznaniu/podziale Dodatku Mentorskiego dla Mentora/Mentorów, w zależności od oceny ich pracy jako Mentora - przy czym łączna wielkość Dodatku Mentorskiego dla Mentorów nie może przekroczyć kwoty, o której mowa w ust.2.,</w:t>
      </w:r>
    </w:p>
    <w:p w14:paraId="699BF51D" w14:textId="77777777" w:rsidR="00A55599" w:rsidRPr="000D195A" w:rsidRDefault="00A55599" w:rsidP="00A55599">
      <w:pPr>
        <w:pStyle w:val="Akapitzlist"/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0D195A">
        <w:rPr>
          <w:rFonts w:ascii="Arial" w:hAnsi="Arial" w:cs="Arial"/>
          <w:sz w:val="22"/>
          <w:szCs w:val="22"/>
        </w:rPr>
        <w:t xml:space="preserve">podejmuje jednoosobowo, w sposób uznaniowy, bezpośredni przełożony </w:t>
      </w:r>
      <w:r>
        <w:rPr>
          <w:rFonts w:ascii="Arial" w:hAnsi="Arial" w:cs="Arial"/>
          <w:sz w:val="22"/>
          <w:szCs w:val="22"/>
        </w:rPr>
        <w:t>osoby</w:t>
      </w:r>
      <w:r w:rsidRPr="000D195A">
        <w:rPr>
          <w:rFonts w:ascii="Arial" w:hAnsi="Arial" w:cs="Arial"/>
          <w:sz w:val="22"/>
          <w:szCs w:val="22"/>
        </w:rPr>
        <w:t xml:space="preserve">, </w:t>
      </w:r>
      <w:r w:rsidRPr="000D195A">
        <w:rPr>
          <w:rFonts w:ascii="Arial" w:hAnsi="Arial" w:cs="Arial"/>
          <w:sz w:val="22"/>
          <w:szCs w:val="22"/>
        </w:rPr>
        <w:br/>
        <w:t>o któr</w:t>
      </w:r>
      <w:r>
        <w:rPr>
          <w:rFonts w:ascii="Arial" w:hAnsi="Arial" w:cs="Arial"/>
          <w:sz w:val="22"/>
          <w:szCs w:val="22"/>
        </w:rPr>
        <w:t>ej</w:t>
      </w:r>
      <w:r w:rsidRPr="000D195A">
        <w:rPr>
          <w:rFonts w:ascii="Arial" w:hAnsi="Arial" w:cs="Arial"/>
          <w:sz w:val="22"/>
          <w:szCs w:val="22"/>
        </w:rPr>
        <w:t xml:space="preserve"> mowa w ust.1. </w:t>
      </w:r>
    </w:p>
    <w:p w14:paraId="1F1751CC" w14:textId="77777777" w:rsidR="00A55599" w:rsidRPr="000D195A" w:rsidRDefault="00A55599" w:rsidP="00A55599">
      <w:pPr>
        <w:pStyle w:val="xmsolistparagraph"/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0D195A">
        <w:rPr>
          <w:rFonts w:ascii="Arial" w:eastAsia="Times New Roman" w:hAnsi="Arial" w:cs="Arial"/>
          <w:sz w:val="22"/>
          <w:szCs w:val="22"/>
        </w:rPr>
        <w:t xml:space="preserve">W przypadku wyznaczenia pracownika na </w:t>
      </w:r>
      <w:r>
        <w:rPr>
          <w:rFonts w:ascii="Arial" w:eastAsia="Times New Roman" w:hAnsi="Arial" w:cs="Arial"/>
          <w:sz w:val="22"/>
          <w:szCs w:val="22"/>
        </w:rPr>
        <w:t>M</w:t>
      </w:r>
      <w:r w:rsidRPr="000D195A">
        <w:rPr>
          <w:rFonts w:ascii="Arial" w:eastAsia="Times New Roman" w:hAnsi="Arial" w:cs="Arial"/>
          <w:sz w:val="22"/>
          <w:szCs w:val="22"/>
        </w:rPr>
        <w:t>entora informacja o takiej decyzji jest niezwłocznie rejestrowana przez jego bezpośredniego przełożonego w elektronicznym systemie służącym do rejestracji czasu pracy.</w:t>
      </w:r>
    </w:p>
    <w:bookmarkEnd w:id="2"/>
    <w:p w14:paraId="5CA9C70A" w14:textId="77777777" w:rsidR="00A55599" w:rsidRPr="000D195A" w:rsidRDefault="00A55599" w:rsidP="00A55599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D195A">
        <w:rPr>
          <w:rFonts w:ascii="Arial" w:hAnsi="Arial" w:cs="Arial"/>
          <w:sz w:val="22"/>
          <w:szCs w:val="22"/>
        </w:rPr>
        <w:t>Niewykorzystany Dodatek Mentorski za dany miesiąc nie jest przenoszony na kolejne okresy miesięczne.</w:t>
      </w:r>
    </w:p>
    <w:p w14:paraId="7845B2DB" w14:textId="77777777" w:rsidR="00A55599" w:rsidRPr="000D195A" w:rsidRDefault="00A55599" w:rsidP="00A55599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D195A">
        <w:rPr>
          <w:rFonts w:ascii="Arial" w:hAnsi="Arial" w:cs="Arial"/>
          <w:sz w:val="22"/>
          <w:szCs w:val="22"/>
        </w:rPr>
        <w:lastRenderedPageBreak/>
        <w:t xml:space="preserve">Wypłata Dodatku Mentorskiego następuje w terminie wypłaty wynagrodzenia za pracę. </w:t>
      </w:r>
    </w:p>
    <w:p w14:paraId="24EB6ECD" w14:textId="77777777" w:rsidR="00A55599" w:rsidRPr="000D195A" w:rsidRDefault="00A55599" w:rsidP="00A55599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95A">
        <w:rPr>
          <w:rFonts w:ascii="Arial" w:hAnsi="Arial" w:cs="Arial"/>
          <w:sz w:val="22"/>
          <w:szCs w:val="22"/>
        </w:rPr>
        <w:t>Dodatek Mentorski wypłacany jest pod odrębnym kodem płacowym.</w:t>
      </w:r>
    </w:p>
    <w:p w14:paraId="77067008" w14:textId="77777777" w:rsidR="00A55599" w:rsidRPr="000D195A" w:rsidRDefault="00A55599" w:rsidP="00A55599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95A">
        <w:rPr>
          <w:rFonts w:ascii="Arial" w:hAnsi="Arial" w:cs="Arial"/>
          <w:sz w:val="22"/>
          <w:szCs w:val="22"/>
        </w:rPr>
        <w:t xml:space="preserve">Strony ustalają, iż co 12 miesięcy od dnia wejścia w życie zapisów niniejszego paragrafu będą dokonywały wspólnej oceny ich funkcjonowania. </w:t>
      </w:r>
    </w:p>
    <w:bookmarkEnd w:id="0"/>
    <w:p w14:paraId="2E374E47" w14:textId="77777777" w:rsidR="00570C78" w:rsidRDefault="00570C78"/>
    <w:sectPr w:rsidR="0057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5B22" w14:textId="77777777" w:rsidR="00422DF4" w:rsidRDefault="00422DF4" w:rsidP="00FB0621">
      <w:r>
        <w:separator/>
      </w:r>
    </w:p>
  </w:endnote>
  <w:endnote w:type="continuationSeparator" w:id="0">
    <w:p w14:paraId="129770C0" w14:textId="77777777" w:rsidR="00422DF4" w:rsidRDefault="00422DF4" w:rsidP="00F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4668" w14:textId="77777777" w:rsidR="00422DF4" w:rsidRDefault="00422DF4" w:rsidP="00FB0621">
      <w:r>
        <w:separator/>
      </w:r>
    </w:p>
  </w:footnote>
  <w:footnote w:type="continuationSeparator" w:id="0">
    <w:p w14:paraId="0FCAB674" w14:textId="77777777" w:rsidR="00422DF4" w:rsidRDefault="00422DF4" w:rsidP="00FB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8AB"/>
    <w:multiLevelType w:val="hybridMultilevel"/>
    <w:tmpl w:val="02745F6E"/>
    <w:lvl w:ilvl="0" w:tplc="A78893E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1E18D7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E327A6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F34AB"/>
    <w:multiLevelType w:val="hybridMultilevel"/>
    <w:tmpl w:val="EF5068EA"/>
    <w:lvl w:ilvl="0" w:tplc="B852BE48">
      <w:start w:val="1"/>
      <w:numFmt w:val="decimal"/>
      <w:lvlText w:val="%1)"/>
      <w:lvlJc w:val="left"/>
      <w:pPr>
        <w:ind w:left="7200" w:hanging="360"/>
      </w:pPr>
      <w:rPr>
        <w:rFonts w:ascii="Arial" w:hAnsi="Arial" w:cs="Arial" w:hint="default"/>
        <w:b w:val="0"/>
        <w:i w:val="0"/>
        <w:strike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" w15:restartNumberingAfterBreak="0">
    <w:nsid w:val="681D6615"/>
    <w:multiLevelType w:val="hybridMultilevel"/>
    <w:tmpl w:val="6BC023E8"/>
    <w:lvl w:ilvl="0" w:tplc="E0967F1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rebuchet MS" w:hAnsi="Trebuchet MS" w:hint="default"/>
        <w:b w:val="0"/>
        <w:i w:val="0"/>
        <w:sz w:val="18"/>
        <w:szCs w:val="22"/>
      </w:rPr>
    </w:lvl>
    <w:lvl w:ilvl="1" w:tplc="1E18D7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E327A6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B4818"/>
    <w:multiLevelType w:val="hybridMultilevel"/>
    <w:tmpl w:val="594E6A52"/>
    <w:lvl w:ilvl="0" w:tplc="32D474D8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i w:val="0"/>
        <w:color w:val="000000" w:themeColor="text1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513218A"/>
    <w:multiLevelType w:val="hybridMultilevel"/>
    <w:tmpl w:val="EB96589E"/>
    <w:lvl w:ilvl="0" w:tplc="AE5ED9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EAC9FA2">
      <w:start w:val="3"/>
      <w:numFmt w:val="upperRoman"/>
      <w:lvlText w:val="%5."/>
      <w:lvlJc w:val="left"/>
      <w:pPr>
        <w:ind w:left="3960" w:hanging="720"/>
      </w:pPr>
      <w:rPr>
        <w:rFonts w:hint="default"/>
        <w:b/>
        <w:color w:val="FF0000"/>
        <w:u w:val="singl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171A8"/>
    <w:multiLevelType w:val="hybridMultilevel"/>
    <w:tmpl w:val="E9E6E074"/>
    <w:lvl w:ilvl="0" w:tplc="F0E8A4B0">
      <w:start w:val="1"/>
      <w:numFmt w:val="decimal"/>
      <w:lvlText w:val="%1."/>
      <w:lvlJc w:val="left"/>
      <w:pPr>
        <w:ind w:left="283" w:hanging="283"/>
      </w:pPr>
      <w:rPr>
        <w:rFonts w:hint="default"/>
        <w:color w:val="000000" w:themeColor="text1"/>
      </w:rPr>
    </w:lvl>
    <w:lvl w:ilvl="1" w:tplc="65E0DEA6">
      <w:start w:val="1"/>
      <w:numFmt w:val="upperRoman"/>
      <w:lvlText w:val="%2."/>
      <w:lvlJc w:val="left"/>
      <w:pPr>
        <w:ind w:left="1800" w:hanging="72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ormalny"/>
      <w:lvlText w:val="%9."/>
      <w:lvlJc w:val="right"/>
      <w:pPr>
        <w:ind w:left="6480" w:hanging="180"/>
      </w:pPr>
    </w:lvl>
  </w:abstractNum>
  <w:num w:numId="1" w16cid:durableId="1579099773">
    <w:abstractNumId w:val="5"/>
  </w:num>
  <w:num w:numId="2" w16cid:durableId="2058628033">
    <w:abstractNumId w:val="2"/>
  </w:num>
  <w:num w:numId="3" w16cid:durableId="1118182475">
    <w:abstractNumId w:val="0"/>
  </w:num>
  <w:num w:numId="4" w16cid:durableId="1128164179">
    <w:abstractNumId w:val="4"/>
  </w:num>
  <w:num w:numId="5" w16cid:durableId="1406075616">
    <w:abstractNumId w:val="1"/>
  </w:num>
  <w:num w:numId="6" w16cid:durableId="882909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99"/>
    <w:rsid w:val="000E7868"/>
    <w:rsid w:val="001D456E"/>
    <w:rsid w:val="00217155"/>
    <w:rsid w:val="0027350E"/>
    <w:rsid w:val="00406404"/>
    <w:rsid w:val="00422DF4"/>
    <w:rsid w:val="00461B72"/>
    <w:rsid w:val="00515901"/>
    <w:rsid w:val="00570C78"/>
    <w:rsid w:val="005F1A46"/>
    <w:rsid w:val="006759E7"/>
    <w:rsid w:val="00756501"/>
    <w:rsid w:val="007B68F7"/>
    <w:rsid w:val="008D3972"/>
    <w:rsid w:val="00986512"/>
    <w:rsid w:val="009B51D8"/>
    <w:rsid w:val="00A55599"/>
    <w:rsid w:val="00D22C90"/>
    <w:rsid w:val="00D61088"/>
    <w:rsid w:val="00D927DC"/>
    <w:rsid w:val="00FB0621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47806"/>
  <w15:chartTrackingRefBased/>
  <w15:docId w15:val="{EE260264-6893-4FDA-83A3-8CB8E6C6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59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599"/>
    <w:pPr>
      <w:numPr>
        <w:ilvl w:val="0"/>
        <w:numId w:val="0"/>
      </w:numPr>
      <w:ind w:left="6480" w:hanging="180"/>
      <w:contextualSpacing/>
    </w:pPr>
  </w:style>
  <w:style w:type="paragraph" w:customStyle="1" w:styleId="xmsolistparagraph">
    <w:name w:val="x_msolistparagraph"/>
    <w:basedOn w:val="Normalny"/>
    <w:rsid w:val="00A55599"/>
    <w:pPr>
      <w:numPr>
        <w:ilvl w:val="0"/>
        <w:numId w:val="0"/>
      </w:numPr>
      <w:ind w:left="6480" w:hanging="180"/>
    </w:pPr>
    <w:rPr>
      <w:rFonts w:eastAsiaTheme="minorHAnsi"/>
    </w:rPr>
  </w:style>
  <w:style w:type="paragraph" w:styleId="Poprawka">
    <w:name w:val="Revision"/>
    <w:hidden/>
    <w:uiPriority w:val="99"/>
    <w:semiHidden/>
    <w:rsid w:val="005F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Kozinski, Cezary</dc:creator>
  <cp:keywords/>
  <dc:description/>
  <cp:lastModifiedBy>Wojcik, Krzysztof</cp:lastModifiedBy>
  <cp:revision>9</cp:revision>
  <dcterms:created xsi:type="dcterms:W3CDTF">2023-03-02T14:10:00Z</dcterms:created>
  <dcterms:modified xsi:type="dcterms:W3CDTF">2023-03-20T12:10:00Z</dcterms:modified>
</cp:coreProperties>
</file>