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5580"/>
      </w:tblGrid>
      <w:tr w:rsidR="009E29FA" w:rsidRPr="009E29FA" w:rsidTr="009E29FA">
        <w:tc>
          <w:tcPr>
            <w:tcW w:w="3708" w:type="dxa"/>
          </w:tcPr>
          <w:p w:rsidR="009E29FA" w:rsidRDefault="009E29FA" w:rsidP="00FA44A1">
            <w:pPr>
              <w:rPr>
                <w:rFonts w:ascii="Calibri Light" w:hAnsi="Calibri Light" w:cs="Calibri Light"/>
                <w:lang w:val="en-GB"/>
              </w:rPr>
            </w:pPr>
            <w:bookmarkStart w:id="0" w:name="_GoBack"/>
            <w:bookmarkEnd w:id="0"/>
            <w:r>
              <w:rPr>
                <w:rFonts w:ascii="Calibri Light" w:hAnsi="Calibri Light" w:cs="Calibri Light"/>
                <w:noProof/>
                <w:lang w:val="en-US"/>
              </w:rPr>
              <w:drawing>
                <wp:inline distT="0" distB="0" distL="0" distR="0" wp14:anchorId="20BBC9AA" wp14:editId="5F345034">
                  <wp:extent cx="1821038" cy="1024128"/>
                  <wp:effectExtent l="0" t="0" r="825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1170" cy="1024202"/>
                          </a:xfrm>
                          <a:prstGeom prst="rect">
                            <a:avLst/>
                          </a:prstGeom>
                          <a:noFill/>
                          <a:ln>
                            <a:noFill/>
                          </a:ln>
                        </pic:spPr>
                      </pic:pic>
                    </a:graphicData>
                  </a:graphic>
                </wp:inline>
              </w:drawing>
            </w:r>
          </w:p>
        </w:tc>
        <w:tc>
          <w:tcPr>
            <w:tcW w:w="5580" w:type="dxa"/>
          </w:tcPr>
          <w:p w:rsidR="009E29FA" w:rsidRPr="009E29FA" w:rsidRDefault="009E29FA" w:rsidP="009E29FA">
            <w:pPr>
              <w:jc w:val="center"/>
              <w:rPr>
                <w:rFonts w:ascii="Calibri Light" w:hAnsi="Calibri Light" w:cs="Calibri Light"/>
                <w:color w:val="0D0D0D" w:themeColor="text1" w:themeTint="F2"/>
                <w:lang w:val="ro-RO"/>
              </w:rPr>
            </w:pPr>
          </w:p>
          <w:p w:rsidR="009E29FA" w:rsidRDefault="009E29FA" w:rsidP="009E29FA">
            <w:pPr>
              <w:jc w:val="center"/>
              <w:rPr>
                <w:rFonts w:ascii="Calibri Light" w:hAnsi="Calibri Light" w:cs="Calibri Light"/>
                <w:color w:val="0D0D0D" w:themeColor="text1" w:themeTint="F2"/>
                <w:lang w:val="ro-RO"/>
              </w:rPr>
            </w:pPr>
          </w:p>
          <w:p w:rsidR="009E29FA" w:rsidRPr="009E29FA" w:rsidRDefault="009E29FA" w:rsidP="002567F4">
            <w:pPr>
              <w:jc w:val="center"/>
              <w:rPr>
                <w:rFonts w:ascii="Calibri Light" w:hAnsi="Calibri Light" w:cs="Calibri Light"/>
                <w:lang w:val="ro-RO"/>
              </w:rPr>
            </w:pPr>
            <w:r w:rsidRPr="009E29FA">
              <w:rPr>
                <w:rFonts w:ascii="Calibri Light" w:hAnsi="Calibri Light" w:cs="Calibri Light"/>
                <w:color w:val="0D0D0D" w:themeColor="text1" w:themeTint="F2"/>
                <w:lang w:val="ro-RO"/>
              </w:rPr>
              <w:t>Detașarea forţei de muncă cu drepturi egale pentru Munc</w:t>
            </w:r>
            <w:r w:rsidR="002567F4">
              <w:rPr>
                <w:rFonts w:ascii="Calibri Light" w:hAnsi="Calibri Light" w:cs="Calibri Light"/>
                <w:color w:val="0D0D0D" w:themeColor="text1" w:themeTint="F2"/>
                <w:lang w:val="ro-RO"/>
              </w:rPr>
              <w:t>a</w:t>
            </w:r>
            <w:r w:rsidRPr="009E29FA">
              <w:rPr>
                <w:rFonts w:ascii="Calibri Light" w:hAnsi="Calibri Light" w:cs="Calibri Light"/>
                <w:color w:val="0D0D0D" w:themeColor="text1" w:themeTint="F2"/>
                <w:lang w:val="ro-RO"/>
              </w:rPr>
              <w:t xml:space="preserve"> în condiţii egale şi Concurenţ</w:t>
            </w:r>
            <w:r w:rsidR="002567F4">
              <w:rPr>
                <w:rFonts w:ascii="Calibri Light" w:hAnsi="Calibri Light" w:cs="Calibri Light"/>
                <w:color w:val="0D0D0D" w:themeColor="text1" w:themeTint="F2"/>
                <w:lang w:val="ro-RO"/>
              </w:rPr>
              <w:t>a</w:t>
            </w:r>
            <w:r w:rsidRPr="009E29FA">
              <w:rPr>
                <w:rFonts w:ascii="Calibri Light" w:hAnsi="Calibri Light" w:cs="Calibri Light"/>
                <w:color w:val="0D0D0D" w:themeColor="text1" w:themeTint="F2"/>
                <w:lang w:val="ro-RO"/>
              </w:rPr>
              <w:t xml:space="preserve"> loială în Industria Metalurgică</w:t>
            </w:r>
          </w:p>
        </w:tc>
      </w:tr>
    </w:tbl>
    <w:p w:rsidR="00FA44A1" w:rsidRPr="009E29FA" w:rsidRDefault="00FA44A1" w:rsidP="00FA44A1">
      <w:pPr>
        <w:rPr>
          <w:rFonts w:ascii="Calibri Light" w:hAnsi="Calibri Light" w:cs="Calibri Light"/>
          <w:lang w:val="ro-RO"/>
        </w:rPr>
      </w:pPr>
    </w:p>
    <w:p w:rsidR="00CC1CC8" w:rsidRPr="00D50450" w:rsidRDefault="00CC1CC8" w:rsidP="00E2794C">
      <w:pPr>
        <w:tabs>
          <w:tab w:val="left" w:pos="8268"/>
        </w:tabs>
        <w:jc w:val="center"/>
        <w:rPr>
          <w:rFonts w:ascii="Calibri Light" w:hAnsi="Calibri Light" w:cs="Calibri Light"/>
          <w:b/>
          <w:bCs/>
          <w:color w:val="1F497D" w:themeColor="text2"/>
          <w:sz w:val="32"/>
          <w:szCs w:val="24"/>
          <w:lang w:val="es-ES_tradnl"/>
        </w:rPr>
      </w:pPr>
      <w:r>
        <w:br/>
      </w:r>
      <w:proofErr w:type="spellStart"/>
      <w:r w:rsidRPr="00D50450">
        <w:rPr>
          <w:rFonts w:ascii="Calibri Light" w:hAnsi="Calibri Light" w:cs="Calibri Light"/>
          <w:b/>
          <w:bCs/>
          <w:color w:val="1F497D" w:themeColor="text2"/>
          <w:sz w:val="32"/>
          <w:szCs w:val="24"/>
          <w:lang w:val="es-ES_tradnl"/>
        </w:rPr>
        <w:t>Detașarea</w:t>
      </w:r>
      <w:proofErr w:type="spellEnd"/>
      <w:r w:rsidR="00D50450" w:rsidRPr="00D50450">
        <w:rPr>
          <w:rFonts w:ascii="Calibri Light" w:hAnsi="Calibri Light" w:cs="Calibri Light"/>
          <w:b/>
          <w:bCs/>
          <w:color w:val="1F497D" w:themeColor="text2"/>
          <w:sz w:val="32"/>
          <w:szCs w:val="24"/>
          <w:lang w:val="es-ES_tradnl"/>
        </w:rPr>
        <w:t xml:space="preserve"> </w:t>
      </w:r>
      <w:proofErr w:type="spellStart"/>
      <w:r w:rsidR="00D50450" w:rsidRPr="00D50450">
        <w:rPr>
          <w:rFonts w:ascii="Calibri Light" w:hAnsi="Calibri Light" w:cs="Calibri Light"/>
          <w:b/>
          <w:bCs/>
          <w:color w:val="1F497D" w:themeColor="text2"/>
          <w:sz w:val="32"/>
          <w:szCs w:val="24"/>
          <w:lang w:val="es-ES_tradnl"/>
        </w:rPr>
        <w:t>forţei</w:t>
      </w:r>
      <w:proofErr w:type="spellEnd"/>
      <w:r w:rsidR="00D50450" w:rsidRPr="00D50450">
        <w:rPr>
          <w:rFonts w:ascii="Calibri Light" w:hAnsi="Calibri Light" w:cs="Calibri Light"/>
          <w:b/>
          <w:bCs/>
          <w:color w:val="1F497D" w:themeColor="text2"/>
          <w:sz w:val="32"/>
          <w:szCs w:val="24"/>
          <w:lang w:val="es-ES_tradnl"/>
        </w:rPr>
        <w:t xml:space="preserve"> de </w:t>
      </w:r>
      <w:proofErr w:type="spellStart"/>
      <w:r w:rsidR="00D50450" w:rsidRPr="00D50450">
        <w:rPr>
          <w:rFonts w:ascii="Calibri Light" w:hAnsi="Calibri Light" w:cs="Calibri Light"/>
          <w:b/>
          <w:bCs/>
          <w:color w:val="1F497D" w:themeColor="text2"/>
          <w:sz w:val="32"/>
          <w:szCs w:val="24"/>
          <w:lang w:val="es-ES_tradnl"/>
        </w:rPr>
        <w:t>muncă</w:t>
      </w:r>
      <w:proofErr w:type="spellEnd"/>
      <w:r w:rsidRPr="00D50450">
        <w:rPr>
          <w:rFonts w:ascii="Calibri Light" w:hAnsi="Calibri Light" w:cs="Calibri Light"/>
          <w:b/>
          <w:bCs/>
          <w:color w:val="1F497D" w:themeColor="text2"/>
          <w:sz w:val="32"/>
          <w:szCs w:val="24"/>
          <w:lang w:val="es-ES_tradnl"/>
        </w:rPr>
        <w:t xml:space="preserve"> </w:t>
      </w:r>
      <w:proofErr w:type="spellStart"/>
      <w:r w:rsidRPr="00D50450">
        <w:rPr>
          <w:rFonts w:ascii="Calibri Light" w:hAnsi="Calibri Light" w:cs="Calibri Light"/>
          <w:b/>
          <w:bCs/>
          <w:color w:val="1F497D" w:themeColor="text2"/>
          <w:sz w:val="32"/>
          <w:szCs w:val="24"/>
          <w:lang w:val="es-ES_tradnl"/>
        </w:rPr>
        <w:t>în</w:t>
      </w:r>
      <w:proofErr w:type="spellEnd"/>
      <w:r w:rsidRPr="00D50450">
        <w:rPr>
          <w:rFonts w:ascii="Calibri Light" w:hAnsi="Calibri Light" w:cs="Calibri Light"/>
          <w:b/>
          <w:bCs/>
          <w:color w:val="1F497D" w:themeColor="text2"/>
          <w:sz w:val="32"/>
          <w:szCs w:val="24"/>
          <w:lang w:val="es-ES_tradnl"/>
        </w:rPr>
        <w:t xml:space="preserve"> </w:t>
      </w:r>
      <w:proofErr w:type="spellStart"/>
      <w:r w:rsidRPr="00D50450">
        <w:rPr>
          <w:rFonts w:ascii="Calibri Light" w:hAnsi="Calibri Light" w:cs="Calibri Light"/>
          <w:b/>
          <w:bCs/>
          <w:color w:val="1F497D" w:themeColor="text2"/>
          <w:sz w:val="32"/>
          <w:szCs w:val="24"/>
          <w:lang w:val="es-ES_tradnl"/>
        </w:rPr>
        <w:t>sectorul</w:t>
      </w:r>
      <w:proofErr w:type="spellEnd"/>
      <w:r w:rsidRPr="00D50450">
        <w:rPr>
          <w:rFonts w:ascii="Calibri Light" w:hAnsi="Calibri Light" w:cs="Calibri Light"/>
          <w:b/>
          <w:bCs/>
          <w:color w:val="1F497D" w:themeColor="text2"/>
          <w:sz w:val="32"/>
          <w:szCs w:val="24"/>
          <w:lang w:val="es-ES_tradnl"/>
        </w:rPr>
        <w:t xml:space="preserve"> </w:t>
      </w:r>
      <w:proofErr w:type="spellStart"/>
      <w:r w:rsidRPr="00D50450">
        <w:rPr>
          <w:rFonts w:ascii="Calibri Light" w:hAnsi="Calibri Light" w:cs="Calibri Light"/>
          <w:b/>
          <w:bCs/>
          <w:color w:val="1F497D" w:themeColor="text2"/>
          <w:sz w:val="32"/>
          <w:szCs w:val="24"/>
          <w:lang w:val="es-ES_tradnl"/>
        </w:rPr>
        <w:t>metalurgic</w:t>
      </w:r>
      <w:proofErr w:type="spellEnd"/>
      <w:r w:rsidRPr="00D50450">
        <w:rPr>
          <w:rFonts w:ascii="Calibri Light" w:hAnsi="Calibri Light" w:cs="Calibri Light"/>
          <w:b/>
          <w:bCs/>
          <w:color w:val="1F497D" w:themeColor="text2"/>
          <w:sz w:val="32"/>
          <w:szCs w:val="24"/>
          <w:lang w:val="es-ES_tradnl"/>
        </w:rPr>
        <w:t xml:space="preserve"> – </w:t>
      </w:r>
    </w:p>
    <w:p w:rsidR="00CC1CC8" w:rsidRPr="00CC1CC8" w:rsidRDefault="00CC1CC8" w:rsidP="00E2794C">
      <w:pPr>
        <w:tabs>
          <w:tab w:val="left" w:pos="8268"/>
        </w:tabs>
        <w:jc w:val="center"/>
        <w:rPr>
          <w:rFonts w:ascii="Calibri Light" w:hAnsi="Calibri Light" w:cs="Calibri Light"/>
          <w:b/>
          <w:bCs/>
          <w:color w:val="1F497D" w:themeColor="text2"/>
          <w:sz w:val="32"/>
          <w:szCs w:val="24"/>
          <w:lang w:val="en-GB"/>
        </w:rPr>
      </w:pPr>
      <w:proofErr w:type="spellStart"/>
      <w:r>
        <w:rPr>
          <w:rFonts w:ascii="Calibri Light" w:hAnsi="Calibri Light" w:cs="Calibri Light"/>
          <w:b/>
          <w:bCs/>
          <w:color w:val="1F497D" w:themeColor="text2"/>
          <w:sz w:val="32"/>
          <w:szCs w:val="24"/>
          <w:lang w:val="en-GB"/>
        </w:rPr>
        <w:t>G</w:t>
      </w:r>
      <w:r w:rsidRPr="00CC1CC8">
        <w:rPr>
          <w:rFonts w:ascii="Calibri Light" w:hAnsi="Calibri Light" w:cs="Calibri Light"/>
          <w:b/>
          <w:bCs/>
          <w:color w:val="1F497D" w:themeColor="text2"/>
          <w:sz w:val="32"/>
          <w:szCs w:val="24"/>
          <w:lang w:val="en-GB"/>
        </w:rPr>
        <w:t>hid</w:t>
      </w:r>
      <w:proofErr w:type="spellEnd"/>
    </w:p>
    <w:p w:rsidR="00044CE9" w:rsidRPr="00722299" w:rsidRDefault="00044CE9" w:rsidP="002B1E6F">
      <w:pPr>
        <w:tabs>
          <w:tab w:val="left" w:pos="8268"/>
        </w:tabs>
        <w:jc w:val="center"/>
        <w:rPr>
          <w:rFonts w:ascii="Calibri Light" w:hAnsi="Calibri Light" w:cs="Calibri Light"/>
          <w:b/>
          <w:color w:val="1F497D" w:themeColor="text2"/>
          <w:sz w:val="24"/>
          <w:szCs w:val="24"/>
          <w:lang w:val="en-GB"/>
        </w:rPr>
      </w:pPr>
    </w:p>
    <w:p w:rsidR="00044CE9" w:rsidRPr="00722299" w:rsidRDefault="001E7B71" w:rsidP="002B1E6F">
      <w:pPr>
        <w:tabs>
          <w:tab w:val="left" w:pos="8268"/>
        </w:tabs>
        <w:jc w:val="center"/>
        <w:rPr>
          <w:rFonts w:ascii="Calibri Light" w:hAnsi="Calibri Light" w:cs="Calibri Light"/>
          <w:b/>
          <w:color w:val="1F497D" w:themeColor="text2"/>
          <w:sz w:val="24"/>
          <w:szCs w:val="24"/>
          <w:lang w:val="en-GB"/>
        </w:rPr>
      </w:pPr>
      <w:r w:rsidRPr="00722299">
        <w:rPr>
          <w:rFonts w:ascii="Calibri Light" w:hAnsi="Calibri Light" w:cs="Calibri Light"/>
          <w:noProof/>
          <w:lang w:val="en-US"/>
        </w:rPr>
        <w:drawing>
          <wp:inline distT="0" distB="0" distL="0" distR="0">
            <wp:extent cx="5755094" cy="32626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34091" cy="3364105"/>
                    </a:xfrm>
                    <a:prstGeom prst="rect">
                      <a:avLst/>
                    </a:prstGeom>
                  </pic:spPr>
                </pic:pic>
              </a:graphicData>
            </a:graphic>
          </wp:inline>
        </w:drawing>
      </w:r>
    </w:p>
    <w:p w:rsidR="00044CE9" w:rsidRPr="00722299" w:rsidRDefault="00044CE9" w:rsidP="002B1E6F">
      <w:pPr>
        <w:tabs>
          <w:tab w:val="left" w:pos="8268"/>
        </w:tabs>
        <w:jc w:val="center"/>
        <w:rPr>
          <w:rFonts w:ascii="Calibri Light" w:hAnsi="Calibri Light" w:cs="Calibri Light"/>
          <w:b/>
          <w:color w:val="1F497D" w:themeColor="text2"/>
          <w:sz w:val="24"/>
          <w:szCs w:val="24"/>
          <w:lang w:val="en-GB"/>
        </w:rPr>
      </w:pPr>
    </w:p>
    <w:p w:rsidR="000039E1" w:rsidRPr="00722299" w:rsidRDefault="000039E1" w:rsidP="000039E1">
      <w:pPr>
        <w:tabs>
          <w:tab w:val="left" w:pos="8268"/>
        </w:tabs>
        <w:rPr>
          <w:rFonts w:ascii="Calibri Light" w:hAnsi="Calibri Light" w:cs="Calibri Light"/>
          <w:b/>
          <w:color w:val="1F497D" w:themeColor="text2"/>
          <w:sz w:val="24"/>
          <w:szCs w:val="24"/>
          <w:lang w:val="en-GB"/>
        </w:rPr>
      </w:pPr>
    </w:p>
    <w:p w:rsidR="00C01B7A" w:rsidRPr="00C01B7A" w:rsidRDefault="00C01B7A" w:rsidP="00C01B7A">
      <w:pPr>
        <w:pStyle w:val="NoSpacing"/>
        <w:rPr>
          <w:rFonts w:ascii="Calibri Light" w:hAnsi="Calibri Light" w:cs="Calibri Light"/>
          <w:color w:val="244061" w:themeColor="accent1" w:themeShade="80"/>
          <w:sz w:val="28"/>
          <w:lang w:val="es-ES_tradnl"/>
        </w:rPr>
      </w:pPr>
      <w:proofErr w:type="spellStart"/>
      <w:r w:rsidRPr="00C01B7A">
        <w:rPr>
          <w:rFonts w:ascii="Calibri Light" w:hAnsi="Calibri Light" w:cs="Calibri Light"/>
          <w:color w:val="244061" w:themeColor="accent1" w:themeShade="80"/>
          <w:sz w:val="28"/>
          <w:lang w:val="es-ES_tradnl"/>
        </w:rPr>
        <w:t>Extinderea</w:t>
      </w:r>
      <w:proofErr w:type="spellEnd"/>
      <w:r w:rsidRPr="00C01B7A">
        <w:rPr>
          <w:rFonts w:ascii="Calibri Light" w:hAnsi="Calibri Light" w:cs="Calibri Light"/>
          <w:color w:val="244061" w:themeColor="accent1" w:themeShade="80"/>
          <w:sz w:val="28"/>
          <w:lang w:val="es-ES_tradnl"/>
        </w:rPr>
        <w:t xml:space="preserve"> </w:t>
      </w:r>
      <w:proofErr w:type="spellStart"/>
      <w:r w:rsidRPr="00C01B7A">
        <w:rPr>
          <w:rFonts w:ascii="Calibri Light" w:hAnsi="Calibri Light" w:cs="Calibri Light"/>
          <w:color w:val="244061" w:themeColor="accent1" w:themeShade="80"/>
          <w:sz w:val="28"/>
          <w:lang w:val="es-ES_tradnl"/>
        </w:rPr>
        <w:t>și</w:t>
      </w:r>
      <w:proofErr w:type="spellEnd"/>
      <w:r w:rsidRPr="00C01B7A">
        <w:rPr>
          <w:rFonts w:ascii="Calibri Light" w:hAnsi="Calibri Light" w:cs="Calibri Light"/>
          <w:color w:val="244061" w:themeColor="accent1" w:themeShade="80"/>
          <w:sz w:val="28"/>
          <w:lang w:val="es-ES_tradnl"/>
        </w:rPr>
        <w:t xml:space="preserve"> </w:t>
      </w:r>
      <w:proofErr w:type="spellStart"/>
      <w:r w:rsidRPr="00C01B7A">
        <w:rPr>
          <w:rFonts w:ascii="Calibri Light" w:hAnsi="Calibri Light" w:cs="Calibri Light"/>
          <w:color w:val="244061" w:themeColor="accent1" w:themeShade="80"/>
          <w:sz w:val="28"/>
          <w:lang w:val="es-ES_tradnl"/>
        </w:rPr>
        <w:t>schimbul</w:t>
      </w:r>
      <w:proofErr w:type="spellEnd"/>
      <w:r w:rsidRPr="00C01B7A">
        <w:rPr>
          <w:rFonts w:ascii="Calibri Light" w:hAnsi="Calibri Light" w:cs="Calibri Light"/>
          <w:color w:val="244061" w:themeColor="accent1" w:themeShade="80"/>
          <w:sz w:val="28"/>
          <w:lang w:val="es-ES_tradnl"/>
        </w:rPr>
        <w:t xml:space="preserve"> de </w:t>
      </w:r>
      <w:proofErr w:type="spellStart"/>
      <w:r w:rsidRPr="00C01B7A">
        <w:rPr>
          <w:rFonts w:ascii="Calibri Light" w:hAnsi="Calibri Light" w:cs="Calibri Light"/>
          <w:color w:val="244061" w:themeColor="accent1" w:themeShade="80"/>
          <w:sz w:val="28"/>
          <w:lang w:val="es-ES_tradnl"/>
        </w:rPr>
        <w:t>cunoștințe</w:t>
      </w:r>
      <w:proofErr w:type="spellEnd"/>
      <w:r w:rsidRPr="00C01B7A">
        <w:rPr>
          <w:rFonts w:ascii="Calibri Light" w:hAnsi="Calibri Light" w:cs="Calibri Light"/>
          <w:color w:val="244061" w:themeColor="accent1" w:themeShade="80"/>
          <w:sz w:val="28"/>
          <w:lang w:val="es-ES_tradnl"/>
        </w:rPr>
        <w:t xml:space="preserve"> </w:t>
      </w:r>
      <w:proofErr w:type="spellStart"/>
      <w:r w:rsidRPr="00C01B7A">
        <w:rPr>
          <w:rFonts w:ascii="Calibri Light" w:hAnsi="Calibri Light" w:cs="Calibri Light"/>
          <w:color w:val="244061" w:themeColor="accent1" w:themeShade="80"/>
          <w:sz w:val="28"/>
          <w:lang w:val="es-ES_tradnl"/>
        </w:rPr>
        <w:t>și</w:t>
      </w:r>
      <w:proofErr w:type="spellEnd"/>
      <w:r w:rsidRPr="00C01B7A">
        <w:rPr>
          <w:rFonts w:ascii="Calibri Light" w:hAnsi="Calibri Light" w:cs="Calibri Light"/>
          <w:color w:val="244061" w:themeColor="accent1" w:themeShade="80"/>
          <w:sz w:val="28"/>
          <w:lang w:val="es-ES_tradnl"/>
        </w:rPr>
        <w:t xml:space="preserve"> de </w:t>
      </w:r>
      <w:proofErr w:type="spellStart"/>
      <w:r w:rsidRPr="00C01B7A">
        <w:rPr>
          <w:rFonts w:ascii="Calibri Light" w:hAnsi="Calibri Light" w:cs="Calibri Light"/>
          <w:color w:val="244061" w:themeColor="accent1" w:themeShade="80"/>
          <w:sz w:val="28"/>
          <w:lang w:val="es-ES_tradnl"/>
        </w:rPr>
        <w:t>bune</w:t>
      </w:r>
      <w:proofErr w:type="spellEnd"/>
      <w:r w:rsidRPr="00C01B7A">
        <w:rPr>
          <w:rFonts w:ascii="Calibri Light" w:hAnsi="Calibri Light" w:cs="Calibri Light"/>
          <w:color w:val="244061" w:themeColor="accent1" w:themeShade="80"/>
          <w:sz w:val="28"/>
          <w:lang w:val="es-ES_tradnl"/>
        </w:rPr>
        <w:t xml:space="preserve"> </w:t>
      </w:r>
      <w:proofErr w:type="spellStart"/>
      <w:r w:rsidRPr="00C01B7A">
        <w:rPr>
          <w:rFonts w:ascii="Calibri Light" w:hAnsi="Calibri Light" w:cs="Calibri Light"/>
          <w:color w:val="244061" w:themeColor="accent1" w:themeShade="80"/>
          <w:sz w:val="28"/>
          <w:lang w:val="es-ES_tradnl"/>
        </w:rPr>
        <w:t>practici</w:t>
      </w:r>
      <w:proofErr w:type="spellEnd"/>
      <w:r w:rsidRPr="00C01B7A">
        <w:rPr>
          <w:rFonts w:ascii="Calibri Light" w:hAnsi="Calibri Light" w:cs="Calibri Light"/>
          <w:color w:val="244061" w:themeColor="accent1" w:themeShade="80"/>
          <w:sz w:val="28"/>
          <w:lang w:val="es-ES_tradnl"/>
        </w:rPr>
        <w:t xml:space="preserve">. </w:t>
      </w:r>
    </w:p>
    <w:p w:rsidR="00C01B7A" w:rsidRPr="00AB37F2" w:rsidRDefault="00C01B7A" w:rsidP="00C01B7A">
      <w:pPr>
        <w:pStyle w:val="NoSpacing"/>
        <w:rPr>
          <w:rFonts w:ascii="Calibri Light" w:hAnsi="Calibri Light" w:cs="Calibri Light"/>
          <w:color w:val="244061" w:themeColor="accent1" w:themeShade="80"/>
          <w:sz w:val="28"/>
          <w:lang w:val="es-ES_tradnl"/>
        </w:rPr>
      </w:pPr>
      <w:proofErr w:type="spellStart"/>
      <w:r w:rsidRPr="00AB37F2">
        <w:rPr>
          <w:rFonts w:ascii="Calibri Light" w:hAnsi="Calibri Light" w:cs="Calibri Light"/>
          <w:color w:val="244061" w:themeColor="accent1" w:themeShade="80"/>
          <w:sz w:val="28"/>
          <w:lang w:val="es-ES_tradnl"/>
        </w:rPr>
        <w:t>Consolidarea</w:t>
      </w:r>
      <w:proofErr w:type="spellEnd"/>
      <w:r w:rsidRPr="00AB37F2">
        <w:rPr>
          <w:rFonts w:ascii="Calibri Light" w:hAnsi="Calibri Light" w:cs="Calibri Light"/>
          <w:color w:val="244061" w:themeColor="accent1" w:themeShade="80"/>
          <w:sz w:val="28"/>
          <w:lang w:val="es-ES_tradnl"/>
        </w:rPr>
        <w:t xml:space="preserve"> </w:t>
      </w:r>
      <w:proofErr w:type="spellStart"/>
      <w:r w:rsidRPr="00AB37F2">
        <w:rPr>
          <w:rFonts w:ascii="Calibri Light" w:hAnsi="Calibri Light" w:cs="Calibri Light"/>
          <w:color w:val="244061" w:themeColor="accent1" w:themeShade="80"/>
          <w:sz w:val="28"/>
          <w:lang w:val="es-ES_tradnl"/>
        </w:rPr>
        <w:t>cooperării</w:t>
      </w:r>
      <w:proofErr w:type="spellEnd"/>
      <w:r w:rsidRPr="00AB37F2">
        <w:rPr>
          <w:rFonts w:ascii="Calibri Light" w:hAnsi="Calibri Light" w:cs="Calibri Light"/>
          <w:color w:val="244061" w:themeColor="accent1" w:themeShade="80"/>
          <w:sz w:val="28"/>
          <w:lang w:val="es-ES_tradnl"/>
        </w:rPr>
        <w:t xml:space="preserve"> </w:t>
      </w:r>
      <w:proofErr w:type="spellStart"/>
      <w:r w:rsidRPr="00AB37F2">
        <w:rPr>
          <w:rFonts w:ascii="Calibri Light" w:hAnsi="Calibri Light" w:cs="Calibri Light"/>
          <w:color w:val="244061" w:themeColor="accent1" w:themeShade="80"/>
          <w:sz w:val="28"/>
          <w:lang w:val="es-ES_tradnl"/>
        </w:rPr>
        <w:t>internaționale</w:t>
      </w:r>
      <w:proofErr w:type="spellEnd"/>
      <w:r w:rsidRPr="00AB37F2">
        <w:rPr>
          <w:rFonts w:ascii="Calibri Light" w:hAnsi="Calibri Light" w:cs="Calibri Light"/>
          <w:color w:val="244061" w:themeColor="accent1" w:themeShade="80"/>
          <w:sz w:val="28"/>
          <w:lang w:val="es-ES_tradnl"/>
        </w:rPr>
        <w:t xml:space="preserve">. </w:t>
      </w:r>
    </w:p>
    <w:p w:rsidR="00044CE9" w:rsidRPr="00AB37F2" w:rsidRDefault="00C01B7A" w:rsidP="00C01B7A">
      <w:pPr>
        <w:pStyle w:val="NoSpacing"/>
        <w:rPr>
          <w:rFonts w:ascii="Calibri Light" w:hAnsi="Calibri Light" w:cs="Calibri Light"/>
          <w:color w:val="244061" w:themeColor="accent1" w:themeShade="80"/>
          <w:sz w:val="28"/>
          <w:lang w:val="es-ES_tradnl"/>
        </w:rPr>
      </w:pPr>
      <w:proofErr w:type="spellStart"/>
      <w:r w:rsidRPr="00AB37F2">
        <w:rPr>
          <w:rFonts w:ascii="Calibri Light" w:hAnsi="Calibri Light" w:cs="Calibri Light"/>
          <w:color w:val="244061" w:themeColor="accent1" w:themeShade="80"/>
          <w:sz w:val="28"/>
          <w:lang w:val="es-ES_tradnl"/>
        </w:rPr>
        <w:t>Monitorizarea</w:t>
      </w:r>
      <w:proofErr w:type="spellEnd"/>
      <w:r w:rsidRPr="00AB37F2">
        <w:rPr>
          <w:rFonts w:ascii="Calibri Light" w:hAnsi="Calibri Light" w:cs="Calibri Light"/>
          <w:color w:val="244061" w:themeColor="accent1" w:themeShade="80"/>
          <w:sz w:val="28"/>
          <w:lang w:val="es-ES_tradnl"/>
        </w:rPr>
        <w:t xml:space="preserve"> </w:t>
      </w:r>
      <w:proofErr w:type="spellStart"/>
      <w:r w:rsidRPr="00AB37F2">
        <w:rPr>
          <w:rFonts w:ascii="Calibri Light" w:hAnsi="Calibri Light" w:cs="Calibri Light"/>
          <w:color w:val="244061" w:themeColor="accent1" w:themeShade="80"/>
          <w:sz w:val="28"/>
          <w:lang w:val="es-ES_tradnl"/>
        </w:rPr>
        <w:t>aplicării</w:t>
      </w:r>
      <w:proofErr w:type="spellEnd"/>
      <w:r w:rsidRPr="00AB37F2">
        <w:rPr>
          <w:rFonts w:ascii="Calibri Light" w:hAnsi="Calibri Light" w:cs="Calibri Light"/>
          <w:color w:val="244061" w:themeColor="accent1" w:themeShade="80"/>
          <w:sz w:val="28"/>
          <w:lang w:val="es-ES_tradnl"/>
        </w:rPr>
        <w:t xml:space="preserve"> </w:t>
      </w:r>
      <w:proofErr w:type="spellStart"/>
      <w:r w:rsidRPr="00AB37F2">
        <w:rPr>
          <w:rFonts w:ascii="Calibri Light" w:hAnsi="Calibri Light" w:cs="Calibri Light"/>
          <w:color w:val="244061" w:themeColor="accent1" w:themeShade="80"/>
          <w:sz w:val="28"/>
          <w:lang w:val="es-ES_tradnl"/>
        </w:rPr>
        <w:t>legii</w:t>
      </w:r>
      <w:proofErr w:type="spellEnd"/>
      <w:r w:rsidRPr="00AB37F2">
        <w:rPr>
          <w:rFonts w:ascii="Calibri Light" w:hAnsi="Calibri Light" w:cs="Calibri Light"/>
          <w:color w:val="244061" w:themeColor="accent1" w:themeShade="80"/>
          <w:sz w:val="28"/>
          <w:lang w:val="es-ES_tradnl"/>
        </w:rPr>
        <w:t>.</w:t>
      </w:r>
    </w:p>
    <w:p w:rsidR="008B6570" w:rsidRDefault="008B6570" w:rsidP="00564FC2">
      <w:pPr>
        <w:tabs>
          <w:tab w:val="left" w:pos="8268"/>
        </w:tabs>
        <w:rPr>
          <w:rFonts w:ascii="Calibri Light" w:hAnsi="Calibri Light" w:cs="Calibri Light"/>
          <w:b/>
          <w:color w:val="1F497D" w:themeColor="text2"/>
          <w:sz w:val="24"/>
          <w:szCs w:val="24"/>
          <w:lang w:val="es-ES_tradnl"/>
        </w:rPr>
      </w:pPr>
    </w:p>
    <w:p w:rsidR="00C01B7A" w:rsidRDefault="00C01B7A" w:rsidP="00564FC2">
      <w:pPr>
        <w:tabs>
          <w:tab w:val="left" w:pos="8268"/>
        </w:tabs>
        <w:rPr>
          <w:rFonts w:ascii="Calibri Light" w:hAnsi="Calibri Light" w:cs="Calibri Light"/>
          <w:b/>
          <w:color w:val="1F497D" w:themeColor="text2"/>
          <w:sz w:val="24"/>
          <w:szCs w:val="24"/>
          <w:lang w:val="es-ES_tradnl"/>
        </w:rPr>
      </w:pPr>
    </w:p>
    <w:p w:rsidR="00C01B7A" w:rsidRDefault="00C01B7A" w:rsidP="00564FC2">
      <w:pPr>
        <w:tabs>
          <w:tab w:val="left" w:pos="8268"/>
        </w:tabs>
        <w:rPr>
          <w:rFonts w:ascii="Calibri Light" w:hAnsi="Calibri Light" w:cs="Calibri Light"/>
          <w:b/>
          <w:color w:val="1F497D" w:themeColor="text2"/>
          <w:sz w:val="24"/>
          <w:szCs w:val="24"/>
          <w:lang w:val="es-ES_tradnl"/>
        </w:rPr>
      </w:pPr>
    </w:p>
    <w:p w:rsidR="00C01B7A" w:rsidRDefault="00C01B7A" w:rsidP="00564FC2">
      <w:pPr>
        <w:tabs>
          <w:tab w:val="left" w:pos="8268"/>
        </w:tabs>
        <w:rPr>
          <w:rFonts w:ascii="Calibri Light" w:hAnsi="Calibri Light" w:cs="Calibri Light"/>
          <w:b/>
          <w:color w:val="1F497D" w:themeColor="text2"/>
          <w:sz w:val="24"/>
          <w:szCs w:val="24"/>
          <w:lang w:val="es-ES_tradnl"/>
        </w:rPr>
      </w:pPr>
    </w:p>
    <w:p w:rsidR="00C01B7A" w:rsidRDefault="00C01B7A" w:rsidP="00564FC2">
      <w:pPr>
        <w:tabs>
          <w:tab w:val="left" w:pos="8268"/>
        </w:tabs>
        <w:rPr>
          <w:rFonts w:ascii="Calibri Light" w:hAnsi="Calibri Light" w:cs="Calibri Light"/>
          <w:b/>
          <w:color w:val="1F497D" w:themeColor="text2"/>
          <w:sz w:val="24"/>
          <w:szCs w:val="24"/>
          <w:lang w:val="es-ES_tradnl"/>
        </w:rPr>
      </w:pPr>
    </w:p>
    <w:tbl>
      <w:tblPr>
        <w:tblStyle w:val="TableGrid"/>
        <w:tblpPr w:leftFromText="180" w:rightFromText="180" w:vertAnchor="text" w:tblpX="-342" w:tblpY="1"/>
        <w:tblOverlap w:val="never"/>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449C1" w:rsidRPr="00081007" w:rsidTr="004449C1">
        <w:tc>
          <w:tcPr>
            <w:tcW w:w="9990" w:type="dxa"/>
          </w:tcPr>
          <w:p w:rsidR="004449C1" w:rsidRPr="00D50450" w:rsidRDefault="004449C1" w:rsidP="004449C1">
            <w:pPr>
              <w:pStyle w:val="NoSpacing"/>
              <w:jc w:val="center"/>
              <w:rPr>
                <w:rFonts w:ascii="Calibri Light" w:hAnsi="Calibri Light" w:cs="Calibri Light"/>
                <w:b/>
                <w:color w:val="000000" w:themeColor="text1"/>
                <w:lang w:val="ro-RO"/>
              </w:rPr>
            </w:pPr>
            <w:r w:rsidRPr="00D50450">
              <w:rPr>
                <w:rFonts w:ascii="Calibri Light" w:hAnsi="Calibri Light" w:cs="Calibri Light"/>
                <w:b/>
                <w:bCs/>
                <w:color w:val="000000" w:themeColor="text1"/>
                <w:lang w:val="ro-RO"/>
              </w:rPr>
              <w:t>I.</w:t>
            </w:r>
          </w:p>
          <w:p w:rsidR="004449C1" w:rsidRPr="00D50450" w:rsidRDefault="004449C1" w:rsidP="004449C1">
            <w:pPr>
              <w:pStyle w:val="NoSpacing"/>
              <w:jc w:val="center"/>
              <w:rPr>
                <w:rFonts w:ascii="Calibri Light" w:hAnsi="Calibri Light" w:cs="Calibri Light"/>
                <w:b/>
                <w:i/>
                <w:color w:val="000000" w:themeColor="text1"/>
                <w:lang w:val="ro-RO"/>
              </w:rPr>
            </w:pPr>
            <w:r w:rsidRPr="00D50450">
              <w:rPr>
                <w:rFonts w:ascii="Calibri Light" w:hAnsi="Calibri Light" w:cs="Calibri Light"/>
                <w:b/>
                <w:bCs/>
                <w:i/>
                <w:iCs/>
                <w:color w:val="000000" w:themeColor="text1"/>
                <w:lang w:val="ro-RO"/>
              </w:rPr>
              <w:t>Informaţii generale</w:t>
            </w:r>
          </w:p>
          <w:p w:rsidR="004449C1" w:rsidRPr="00D50450" w:rsidRDefault="004449C1" w:rsidP="004449C1">
            <w:pPr>
              <w:pStyle w:val="NoSpacing"/>
              <w:rPr>
                <w:rFonts w:ascii="Calibri Light" w:hAnsi="Calibri Light" w:cs="Calibri Light"/>
                <w:color w:val="244061" w:themeColor="accent1" w:themeShade="80"/>
                <w:lang w:val="ro-RO"/>
              </w:rPr>
            </w:pPr>
          </w:p>
          <w:p w:rsidR="004449C1" w:rsidRPr="00D50450" w:rsidRDefault="004449C1" w:rsidP="00444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color w:val="0D0D0D" w:themeColor="text1" w:themeTint="F2"/>
                <w:lang w:val="ro-RO"/>
              </w:rPr>
            </w:pPr>
            <w:r w:rsidRPr="00D50450">
              <w:rPr>
                <w:rFonts w:ascii="Calibri Light" w:hAnsi="Calibri Light" w:cs="Calibri Light"/>
                <w:color w:val="0D0D0D" w:themeColor="text1" w:themeTint="F2"/>
                <w:lang w:val="ro-RO"/>
              </w:rPr>
              <w:t>Acest ghid a fost elaborat în cadrul unui proiect cofinanțat din fondurile Uniunii Europene, intitulat:</w:t>
            </w:r>
          </w:p>
          <w:p w:rsidR="004449C1" w:rsidRPr="00D50450" w:rsidRDefault="004449C1" w:rsidP="00444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color w:val="0D0D0D" w:themeColor="text1" w:themeTint="F2"/>
                <w:lang w:val="ro-RO"/>
              </w:rPr>
            </w:pPr>
          </w:p>
          <w:p w:rsidR="004449C1" w:rsidRPr="007F7CFD" w:rsidRDefault="004449C1" w:rsidP="004449C1">
            <w:pPr>
              <w:jc w:val="both"/>
              <w:rPr>
                <w:b/>
                <w:caps/>
                <w:lang w:val="en-GB"/>
              </w:rPr>
            </w:pPr>
            <w:r w:rsidRPr="00AB37F2">
              <w:rPr>
                <w:rFonts w:ascii="Calibri Light" w:hAnsi="Calibri Light" w:cs="Calibri Light"/>
                <w:b/>
                <w:bCs/>
                <w:color w:val="244061" w:themeColor="accent1" w:themeShade="80"/>
                <w:lang w:val="ro-RO"/>
              </w:rPr>
              <w:t>"</w:t>
            </w:r>
            <w:r w:rsidRPr="00AB37F2">
              <w:rPr>
                <w:rFonts w:ascii="Calibri Light" w:hAnsi="Calibri Light" w:cs="Calibri Light"/>
                <w:b/>
                <w:bCs/>
                <w:caps/>
                <w:color w:val="244061" w:themeColor="accent1" w:themeShade="80"/>
                <w:lang w:val="ro-RO"/>
                <w14:textFill>
                  <w14:gradFill>
                    <w14:gsLst>
                      <w14:gs w14:pos="0">
                        <w14:schemeClr w14:val="accent1">
                          <w14:lumMod w14:val="50000"/>
                          <w14:lumOff w14:val="0"/>
                          <w14:shade w14:val="30000"/>
                          <w14:satMod w14:val="115000"/>
                        </w14:schemeClr>
                      </w14:gs>
                      <w14:gs w14:pos="50000">
                        <w14:schemeClr w14:val="accent1">
                          <w14:lumMod w14:val="50000"/>
                          <w14:lumOff w14:val="0"/>
                          <w14:shade w14:val="67500"/>
                          <w14:satMod w14:val="115000"/>
                        </w14:schemeClr>
                      </w14:gs>
                      <w14:gs w14:pos="100000">
                        <w14:schemeClr w14:val="accent1">
                          <w14:lumMod w14:val="50000"/>
                          <w14:lumOff w14:val="0"/>
                          <w14:shade w14:val="100000"/>
                          <w14:satMod w14:val="115000"/>
                        </w14:schemeClr>
                      </w14:gs>
                    </w14:gsLst>
                    <w14:lin w14:ang="5400000" w14:scaled="0"/>
                  </w14:gradFill>
                </w14:textFill>
              </w:rPr>
              <w:t>Detașarea forţei de muncă cu drepturi egale pentru Munca în condiţii egale şi Concurenţa loială în Industria Metalurgică</w:t>
            </w:r>
          </w:p>
          <w:p w:rsidR="004449C1" w:rsidRPr="00AB37F2" w:rsidRDefault="004449C1" w:rsidP="004449C1">
            <w:pPr>
              <w:rPr>
                <w:caps/>
              </w:rPr>
            </w:pPr>
            <w:r w:rsidRPr="005B32E2">
              <w:rPr>
                <w:rFonts w:ascii="Calibri Light" w:hAnsi="Calibri Light" w:cs="Calibri Light"/>
                <w:b/>
                <w:bCs/>
                <w:caps/>
                <w:color w:val="244061" w:themeColor="accent1" w:themeShade="80"/>
                <w:lang w:val="ro-RO"/>
                <w14:textFill>
                  <w14:gradFill>
                    <w14:gsLst>
                      <w14:gs w14:pos="0">
                        <w14:schemeClr w14:val="accent1">
                          <w14:lumMod w14:val="50000"/>
                          <w14:lumOff w14:val="0"/>
                          <w14:shade w14:val="30000"/>
                          <w14:satMod w14:val="115000"/>
                        </w14:schemeClr>
                      </w14:gs>
                      <w14:gs w14:pos="50000">
                        <w14:schemeClr w14:val="accent1">
                          <w14:lumMod w14:val="50000"/>
                          <w14:lumOff w14:val="0"/>
                          <w14:shade w14:val="67500"/>
                          <w14:satMod w14:val="115000"/>
                        </w14:schemeClr>
                      </w14:gs>
                      <w14:gs w14:pos="100000">
                        <w14:schemeClr w14:val="accent1">
                          <w14:lumMod w14:val="50000"/>
                          <w14:lumOff w14:val="0"/>
                          <w14:shade w14:val="100000"/>
                          <w14:satMod w14:val="115000"/>
                        </w14:schemeClr>
                      </w14:gs>
                    </w14:gsLst>
                    <w14:lin w14:ang="5400000" w14:scaled="0"/>
                  </w14:gradFill>
                </w14:textFill>
              </w:rPr>
              <w:t>POS2COMI</w:t>
            </w:r>
            <w:r w:rsidRPr="00D50450">
              <w:rPr>
                <w:rFonts w:ascii="Calibri Light" w:hAnsi="Calibri Light" w:cs="Calibri Light"/>
                <w:b/>
                <w:bCs/>
                <w:color w:val="244061" w:themeColor="accent1" w:themeShade="80"/>
                <w:lang w:val="ro-RO"/>
              </w:rPr>
              <w:t>".</w:t>
            </w:r>
          </w:p>
          <w:p w:rsidR="004449C1" w:rsidRPr="00D50450" w:rsidRDefault="004449C1" w:rsidP="00444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b/>
                <w:bCs/>
                <w:color w:val="244061" w:themeColor="accent1" w:themeShade="80"/>
                <w:lang w:val="ro-RO"/>
              </w:rPr>
            </w:pPr>
          </w:p>
          <w:p w:rsidR="004449C1" w:rsidRPr="00D50450" w:rsidRDefault="004449C1" w:rsidP="00444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color w:val="0D0D0D" w:themeColor="text1" w:themeTint="F2"/>
                <w:lang w:val="ro-RO"/>
              </w:rPr>
            </w:pPr>
            <w:r w:rsidRPr="00D50450">
              <w:rPr>
                <w:rFonts w:ascii="Calibri Light" w:hAnsi="Calibri Light" w:cs="Calibri Light"/>
                <w:color w:val="0D0D0D" w:themeColor="text1" w:themeTint="F2"/>
                <w:lang w:val="ro-RO"/>
              </w:rPr>
              <w:t>Publica</w:t>
            </w:r>
            <w:r>
              <w:rPr>
                <w:rFonts w:ascii="Calibri Light" w:hAnsi="Calibri Light" w:cs="Calibri Light"/>
                <w:color w:val="0D0D0D" w:themeColor="text1" w:themeTint="F2"/>
                <w:lang w:val="ro-RO"/>
              </w:rPr>
              <w:t>rea</w:t>
            </w:r>
            <w:r w:rsidRPr="00D50450">
              <w:rPr>
                <w:rFonts w:ascii="Calibri Light" w:hAnsi="Calibri Light" w:cs="Calibri Light"/>
                <w:color w:val="0D0D0D" w:themeColor="text1" w:themeTint="F2"/>
                <w:lang w:val="ro-RO"/>
              </w:rPr>
              <w:t xml:space="preserve"> a fost pregătită de către Niezaleņny Samorządny Związek Zawodowy Pracowników Arcelor Mittal Polonia S</w:t>
            </w:r>
            <w:r>
              <w:rPr>
                <w:rFonts w:ascii="Calibri Light" w:hAnsi="Calibri Light" w:cs="Calibri Light"/>
                <w:color w:val="0D0D0D" w:themeColor="text1" w:themeTint="F2"/>
                <w:lang w:val="ro-RO"/>
              </w:rPr>
              <w:t>.</w:t>
            </w:r>
            <w:r w:rsidRPr="00D50450">
              <w:rPr>
                <w:rFonts w:ascii="Calibri Light" w:hAnsi="Calibri Light" w:cs="Calibri Light"/>
                <w:color w:val="0D0D0D" w:themeColor="text1" w:themeTint="F2"/>
                <w:lang w:val="ro-RO"/>
              </w:rPr>
              <w:t>A</w:t>
            </w:r>
            <w:r>
              <w:rPr>
                <w:rFonts w:ascii="Calibri Light" w:hAnsi="Calibri Light" w:cs="Calibri Light"/>
                <w:color w:val="0D0D0D" w:themeColor="text1" w:themeTint="F2"/>
                <w:lang w:val="ro-RO"/>
              </w:rPr>
              <w:t>.(</w:t>
            </w:r>
            <w:r w:rsidRPr="00163DDE">
              <w:rPr>
                <w:rFonts w:ascii="Calibri Light" w:hAnsi="Calibri Light" w:cs="Calibri Light"/>
                <w:color w:val="0D0D0D" w:themeColor="text1" w:themeTint="F2"/>
                <w:lang w:val="ro-RO"/>
              </w:rPr>
              <w:t xml:space="preserve"> Sindicat Independent al Angajaților Arcelor Mittal Polonia S.A.</w:t>
            </w:r>
            <w:r>
              <w:rPr>
                <w:rFonts w:ascii="Calibri Light" w:hAnsi="Calibri Light" w:cs="Calibri Light"/>
                <w:color w:val="0D0D0D" w:themeColor="text1" w:themeTint="F2"/>
                <w:lang w:val="ro-RO"/>
              </w:rPr>
              <w:t xml:space="preserve">) </w:t>
            </w:r>
            <w:r w:rsidRPr="00D50450">
              <w:rPr>
                <w:rFonts w:ascii="Calibri Light" w:hAnsi="Calibri Light" w:cs="Calibri Light"/>
                <w:color w:val="0D0D0D" w:themeColor="text1" w:themeTint="F2"/>
                <w:lang w:val="ro-RO"/>
              </w:rPr>
              <w:t>în colaborare cu organizații și instituții reprezentând 7 țări: Grecia, Spania, Serbia, Italia, Lituania, Bulgaria și Polonia.</w:t>
            </w:r>
          </w:p>
          <w:p w:rsidR="004449C1" w:rsidRPr="00D50450" w:rsidRDefault="004449C1" w:rsidP="00444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color w:val="0D0D0D" w:themeColor="text1" w:themeTint="F2"/>
                <w:lang w:val="ro-RO"/>
              </w:rPr>
            </w:pPr>
          </w:p>
          <w:p w:rsidR="004449C1" w:rsidRPr="00D50450" w:rsidRDefault="004449C1" w:rsidP="004449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Light" w:hAnsi="Calibri Light" w:cs="Calibri Light"/>
                <w:color w:val="0D0D0D" w:themeColor="text1" w:themeTint="F2"/>
                <w:lang w:val="ro-RO"/>
              </w:rPr>
            </w:pPr>
            <w:r w:rsidRPr="00D50450">
              <w:rPr>
                <w:rFonts w:ascii="Calibri Light" w:hAnsi="Calibri Light" w:cs="Calibri Light"/>
                <w:color w:val="0D0D0D" w:themeColor="text1" w:themeTint="F2"/>
                <w:lang w:val="ro-RO"/>
              </w:rPr>
              <w:t xml:space="preserve">Participarea reprezentanților mai multor țări reprezentând diverse entități (sindicate, patronate, agenții de ocupare a forței de muncă, centre de cercetare universitare, inspectorate de muncă) permite evaluarea complexă a soluțiilor legale și practice asociate </w:t>
            </w:r>
            <w:r>
              <w:rPr>
                <w:rFonts w:ascii="Calibri Light" w:hAnsi="Calibri Light" w:cs="Calibri Light"/>
                <w:color w:val="0D0D0D" w:themeColor="text1" w:themeTint="F2"/>
                <w:lang w:val="ro-RO"/>
              </w:rPr>
              <w:t>detaşării forţei de muncă</w:t>
            </w:r>
            <w:r w:rsidRPr="00D50450">
              <w:rPr>
                <w:rFonts w:ascii="Calibri Light" w:hAnsi="Calibri Light" w:cs="Calibri Light"/>
                <w:color w:val="0D0D0D" w:themeColor="text1" w:themeTint="F2"/>
                <w:lang w:val="ro-RO"/>
              </w:rPr>
              <w:t xml:space="preserve">, precum și schimbul de experiență care diferă de la o țară la alta din cauza gradului de detașare și a mecanismelor incluse în legislația națională. Țările participante au luat parte la activitățile de proiect atât ca state membre "noi", cât și </w:t>
            </w:r>
            <w:r>
              <w:rPr>
                <w:rFonts w:ascii="Calibri Light" w:hAnsi="Calibri Light" w:cs="Calibri Light"/>
                <w:color w:val="0D0D0D" w:themeColor="text1" w:themeTint="F2"/>
                <w:lang w:val="ro-RO"/>
              </w:rPr>
              <w:t>„</w:t>
            </w:r>
            <w:r w:rsidRPr="00D50450">
              <w:rPr>
                <w:rFonts w:ascii="Calibri Light" w:hAnsi="Calibri Light" w:cs="Calibri Light"/>
                <w:color w:val="0D0D0D" w:themeColor="text1" w:themeTint="F2"/>
                <w:lang w:val="ro-RO"/>
              </w:rPr>
              <w:t>vechi</w:t>
            </w:r>
            <w:r>
              <w:rPr>
                <w:rFonts w:ascii="Calibri Light" w:hAnsi="Calibri Light" w:cs="Calibri Light"/>
                <w:color w:val="0D0D0D" w:themeColor="text1" w:themeTint="F2"/>
                <w:lang w:val="ro-RO"/>
              </w:rPr>
              <w:t>”</w:t>
            </w:r>
            <w:r w:rsidRPr="00D50450">
              <w:rPr>
                <w:rFonts w:ascii="Calibri Light" w:hAnsi="Calibri Light" w:cs="Calibri Light"/>
                <w:color w:val="0D0D0D" w:themeColor="text1" w:themeTint="F2"/>
                <w:lang w:val="ro-RO"/>
              </w:rPr>
              <w:t>, membre ale UE, precum ș</w:t>
            </w:r>
            <w:r>
              <w:rPr>
                <w:rFonts w:ascii="Calibri Light" w:hAnsi="Calibri Light" w:cs="Calibri Light"/>
                <w:color w:val="0D0D0D" w:themeColor="text1" w:themeTint="F2"/>
                <w:lang w:val="ro-RO"/>
              </w:rPr>
              <w:t>i țări</w:t>
            </w:r>
            <w:r w:rsidRPr="00D50450">
              <w:rPr>
                <w:rFonts w:ascii="Calibri Light" w:hAnsi="Calibri Light" w:cs="Calibri Light"/>
                <w:color w:val="0D0D0D" w:themeColor="text1" w:themeTint="F2"/>
                <w:lang w:val="ro-RO"/>
              </w:rPr>
              <w:t xml:space="preserve"> candidate, care, fără îndoială, au extins și potențialul de evaluare și tragerea concluziilor din diferite perspective și puncte de referință.</w:t>
            </w:r>
          </w:p>
          <w:p w:rsidR="004449C1" w:rsidRDefault="004449C1" w:rsidP="004449C1">
            <w:pPr>
              <w:tabs>
                <w:tab w:val="left" w:pos="8268"/>
              </w:tabs>
              <w:jc w:val="both"/>
              <w:rPr>
                <w:rFonts w:ascii="Calibri Light" w:hAnsi="Calibri Light" w:cs="Calibri Light"/>
                <w:color w:val="0D0D0D" w:themeColor="text1" w:themeTint="F2"/>
                <w:lang w:val="ro-RO"/>
              </w:rPr>
            </w:pPr>
            <w:r w:rsidRPr="00D50450">
              <w:rPr>
                <w:lang w:val="ro-RO"/>
              </w:rPr>
              <w:br/>
            </w:r>
            <w:r w:rsidRPr="00D50450">
              <w:rPr>
                <w:rFonts w:ascii="Calibri Light" w:hAnsi="Calibri Light" w:cs="Calibri Light"/>
                <w:color w:val="0D0D0D" w:themeColor="text1" w:themeTint="F2"/>
                <w:lang w:val="ro-RO"/>
              </w:rPr>
              <w:t xml:space="preserve">Acest ghid are rolul de a aprofunda cunoașterea în </w:t>
            </w:r>
            <w:r>
              <w:rPr>
                <w:rFonts w:ascii="Calibri Light" w:hAnsi="Calibri Light" w:cs="Calibri Light"/>
                <w:color w:val="0D0D0D" w:themeColor="text1" w:themeTint="F2"/>
                <w:lang w:val="ro-RO"/>
              </w:rPr>
              <w:t xml:space="preserve">domeniul </w:t>
            </w:r>
            <w:r w:rsidRPr="00D50450">
              <w:rPr>
                <w:rFonts w:ascii="Calibri Light" w:hAnsi="Calibri Light" w:cs="Calibri Light"/>
                <w:color w:val="0D0D0D" w:themeColor="text1" w:themeTint="F2"/>
                <w:lang w:val="ro-RO"/>
              </w:rPr>
              <w:t>detaș</w:t>
            </w:r>
            <w:r>
              <w:rPr>
                <w:rFonts w:ascii="Calibri Light" w:hAnsi="Calibri Light" w:cs="Calibri Light"/>
                <w:color w:val="0D0D0D" w:themeColor="text1" w:themeTint="F2"/>
                <w:lang w:val="ro-RO"/>
              </w:rPr>
              <w:t>ării</w:t>
            </w:r>
            <w:r w:rsidRPr="00D50450">
              <w:rPr>
                <w:rFonts w:ascii="Calibri Light" w:hAnsi="Calibri Light" w:cs="Calibri Light"/>
                <w:color w:val="0D0D0D" w:themeColor="text1" w:themeTint="F2"/>
                <w:lang w:val="ro-RO"/>
              </w:rPr>
              <w:t xml:space="preserve"> </w:t>
            </w:r>
            <w:r>
              <w:rPr>
                <w:rFonts w:ascii="Calibri Light" w:hAnsi="Calibri Light" w:cs="Calibri Light"/>
                <w:color w:val="0D0D0D" w:themeColor="text1" w:themeTint="F2"/>
                <w:lang w:val="ro-RO"/>
              </w:rPr>
              <w:t>forţei de muncă</w:t>
            </w:r>
            <w:r w:rsidRPr="00D50450">
              <w:rPr>
                <w:rFonts w:ascii="Calibri Light" w:hAnsi="Calibri Light" w:cs="Calibri Light"/>
                <w:color w:val="0D0D0D" w:themeColor="text1" w:themeTint="F2"/>
                <w:lang w:val="ro-RO"/>
              </w:rPr>
              <w:t>, de a face  familiar</w:t>
            </w:r>
            <w:r>
              <w:rPr>
                <w:rFonts w:ascii="Calibri Light" w:hAnsi="Calibri Light" w:cs="Calibri Light"/>
                <w:color w:val="0D0D0D" w:themeColor="text1" w:themeTint="F2"/>
                <w:lang w:val="ro-RO"/>
              </w:rPr>
              <w:t xml:space="preserve">iza </w:t>
            </w:r>
            <w:r w:rsidRPr="00D50450">
              <w:rPr>
                <w:rFonts w:ascii="Calibri Light" w:hAnsi="Calibri Light" w:cs="Calibri Light"/>
                <w:color w:val="0D0D0D" w:themeColor="text1" w:themeTint="F2"/>
                <w:lang w:val="ro-RO"/>
              </w:rPr>
              <w:t xml:space="preserve">cititorii cu soluții juridice și de a împărtăși informații și bune practici aplicate în țările care </w:t>
            </w:r>
            <w:r>
              <w:rPr>
                <w:rFonts w:ascii="Calibri Light" w:hAnsi="Calibri Light" w:cs="Calibri Light"/>
                <w:color w:val="0D0D0D" w:themeColor="text1" w:themeTint="F2"/>
                <w:lang w:val="ro-RO"/>
              </w:rPr>
              <w:t>detaşau</w:t>
            </w:r>
            <w:r w:rsidRPr="00D50450">
              <w:rPr>
                <w:rFonts w:ascii="Calibri Light" w:hAnsi="Calibri Light" w:cs="Calibri Light"/>
                <w:color w:val="0D0D0D" w:themeColor="text1" w:themeTint="F2"/>
                <w:lang w:val="ro-RO"/>
              </w:rPr>
              <w:t xml:space="preserve"> </w:t>
            </w:r>
            <w:r>
              <w:rPr>
                <w:rFonts w:ascii="Calibri Light" w:hAnsi="Calibri Light" w:cs="Calibri Light"/>
                <w:color w:val="0D0D0D" w:themeColor="text1" w:themeTint="F2"/>
                <w:lang w:val="ro-RO"/>
              </w:rPr>
              <w:t>forţă de muncă</w:t>
            </w:r>
            <w:r w:rsidRPr="00D50450">
              <w:rPr>
                <w:rFonts w:ascii="Calibri Light" w:hAnsi="Calibri Light" w:cs="Calibri Light"/>
                <w:color w:val="0D0D0D" w:themeColor="text1" w:themeTint="F2"/>
                <w:lang w:val="ro-RO"/>
              </w:rPr>
              <w:t xml:space="preserve"> </w:t>
            </w:r>
            <w:r>
              <w:rPr>
                <w:rFonts w:ascii="Calibri Light" w:hAnsi="Calibri Light" w:cs="Calibri Light"/>
                <w:color w:val="0D0D0D" w:themeColor="text1" w:themeTint="F2"/>
                <w:lang w:val="ro-RO"/>
              </w:rPr>
              <w:t>o acceptau</w:t>
            </w:r>
            <w:r w:rsidRPr="00D50450">
              <w:rPr>
                <w:rFonts w:ascii="Calibri Light" w:hAnsi="Calibri Light" w:cs="Calibri Light"/>
                <w:color w:val="0D0D0D" w:themeColor="text1" w:themeTint="F2"/>
                <w:lang w:val="ro-RO"/>
              </w:rPr>
              <w:t xml:space="preserve">. </w:t>
            </w:r>
          </w:p>
          <w:p w:rsidR="00F845EC" w:rsidRDefault="00F845EC" w:rsidP="004449C1">
            <w:pPr>
              <w:tabs>
                <w:tab w:val="left" w:pos="8268"/>
              </w:tabs>
              <w:jc w:val="both"/>
              <w:rPr>
                <w:rFonts w:ascii="Calibri Light" w:hAnsi="Calibri Light" w:cs="Calibri Light"/>
                <w:color w:val="0D0D0D" w:themeColor="text1" w:themeTint="F2"/>
                <w:lang w:val="ro-RO"/>
              </w:rPr>
            </w:pPr>
          </w:p>
          <w:p w:rsidR="004449C1" w:rsidRDefault="004449C1" w:rsidP="004449C1">
            <w:pPr>
              <w:tabs>
                <w:tab w:val="left" w:pos="8268"/>
              </w:tabs>
              <w:jc w:val="both"/>
              <w:rPr>
                <w:rFonts w:ascii="Calibri Light" w:hAnsi="Calibri Light" w:cs="Calibri Light"/>
                <w:color w:val="0D0D0D" w:themeColor="text1" w:themeTint="F2"/>
                <w:lang w:val="ro-RO"/>
              </w:rPr>
            </w:pPr>
            <w:r w:rsidRPr="00D50450">
              <w:rPr>
                <w:rFonts w:ascii="Calibri Light" w:hAnsi="Calibri Light" w:cs="Calibri Light"/>
                <w:color w:val="0D0D0D" w:themeColor="text1" w:themeTint="F2"/>
                <w:lang w:val="ro-RO"/>
              </w:rPr>
              <w:t xml:space="preserve">În plus, ghidul conține soluții menite să monitorizeze aplicarea legii: atât directivele UE, cât și legislația națională în domeniul condițiilor de angajare pentru </w:t>
            </w:r>
            <w:r>
              <w:rPr>
                <w:rFonts w:ascii="Calibri Light" w:hAnsi="Calibri Light" w:cs="Calibri Light"/>
                <w:color w:val="0D0D0D" w:themeColor="text1" w:themeTint="F2"/>
                <w:lang w:val="ro-RO"/>
              </w:rPr>
              <w:t>forţa de muncă detașată</w:t>
            </w:r>
            <w:r w:rsidRPr="00D50450">
              <w:rPr>
                <w:rFonts w:ascii="Calibri Light" w:hAnsi="Calibri Light" w:cs="Calibri Light"/>
                <w:color w:val="0D0D0D" w:themeColor="text1" w:themeTint="F2"/>
                <w:lang w:val="ro-RO"/>
              </w:rPr>
              <w:t xml:space="preserve">. Ghidul include, de asemenea, evaluarea problemei detașării </w:t>
            </w:r>
            <w:r>
              <w:rPr>
                <w:rFonts w:ascii="Calibri Light" w:hAnsi="Calibri Light" w:cs="Calibri Light"/>
                <w:color w:val="0D0D0D" w:themeColor="text1" w:themeTint="F2"/>
                <w:lang w:val="ro-RO"/>
              </w:rPr>
              <w:t>forţei de muncă</w:t>
            </w:r>
            <w:r w:rsidRPr="00D50450">
              <w:rPr>
                <w:rFonts w:ascii="Calibri Light" w:hAnsi="Calibri Light" w:cs="Calibri Light"/>
                <w:color w:val="0D0D0D" w:themeColor="text1" w:themeTint="F2"/>
                <w:lang w:val="ro-RO"/>
              </w:rPr>
              <w:t xml:space="preserve">, pe baza sondajului de cercetare în rândul angajaților și companiilor care </w:t>
            </w:r>
            <w:r>
              <w:rPr>
                <w:rFonts w:ascii="Calibri Light" w:hAnsi="Calibri Light" w:cs="Calibri Light"/>
                <w:color w:val="0D0D0D" w:themeColor="text1" w:themeTint="F2"/>
                <w:lang w:val="ro-RO"/>
              </w:rPr>
              <w:t>îi detaşează</w:t>
            </w:r>
            <w:r w:rsidRPr="00D50450">
              <w:rPr>
                <w:rFonts w:ascii="Calibri Light" w:hAnsi="Calibri Light" w:cs="Calibri Light"/>
                <w:color w:val="0D0D0D" w:themeColor="text1" w:themeTint="F2"/>
                <w:lang w:val="ro-RO"/>
              </w:rPr>
              <w:t>.</w:t>
            </w:r>
          </w:p>
          <w:p w:rsidR="00F845EC" w:rsidRPr="00D50450" w:rsidRDefault="00F845EC" w:rsidP="004449C1">
            <w:pPr>
              <w:tabs>
                <w:tab w:val="left" w:pos="8268"/>
              </w:tabs>
              <w:jc w:val="both"/>
              <w:rPr>
                <w:rFonts w:ascii="Calibri Light" w:hAnsi="Calibri Light" w:cs="Calibri Light"/>
                <w:color w:val="0D0D0D" w:themeColor="text1" w:themeTint="F2"/>
                <w:lang w:val="ro-RO"/>
              </w:rPr>
            </w:pPr>
          </w:p>
          <w:p w:rsidR="004449C1" w:rsidRPr="00D50450" w:rsidRDefault="004449C1" w:rsidP="004449C1">
            <w:pPr>
              <w:jc w:val="both"/>
              <w:rPr>
                <w:rFonts w:ascii="Calibri Light" w:hAnsi="Calibri Light" w:cs="Calibri Light"/>
                <w:lang w:val="ro-RO"/>
              </w:rPr>
            </w:pPr>
            <w:r w:rsidRPr="00D50450">
              <w:rPr>
                <w:rFonts w:ascii="Arial" w:hAnsi="Arial" w:cs="Arial"/>
                <w:color w:val="212121"/>
                <w:shd w:val="clear" w:color="auto" w:fill="FFFFFF"/>
                <w:lang w:val="ro-RO"/>
              </w:rPr>
              <w:t xml:space="preserve">O valoare adăugată a acestui ghid constă în consolidarea cooperării internaționale între organismele naționale competente și partenerii sociali, necesară pentru asigurarea unei aplicări corecte și respectării soluțiilor juridice care ar trebui să asigure în mod corespunzător drepturile și interesele </w:t>
            </w:r>
            <w:r>
              <w:rPr>
                <w:rFonts w:ascii="Arial" w:hAnsi="Arial" w:cs="Arial"/>
                <w:color w:val="212121"/>
                <w:shd w:val="clear" w:color="auto" w:fill="FFFFFF"/>
                <w:lang w:val="ro-RO"/>
              </w:rPr>
              <w:t>angajaţilor</w:t>
            </w:r>
            <w:r w:rsidRPr="00D50450">
              <w:rPr>
                <w:rFonts w:ascii="Arial" w:hAnsi="Arial" w:cs="Arial"/>
                <w:color w:val="212121"/>
                <w:shd w:val="clear" w:color="auto" w:fill="FFFFFF"/>
                <w:lang w:val="ro-RO"/>
              </w:rPr>
              <w:t xml:space="preserve"> detașați. În acest scop, ghidul conține detalii de contact ale tuturor organizațiilor și entităților care participă la proiect.</w:t>
            </w:r>
          </w:p>
          <w:p w:rsidR="004449C1" w:rsidRPr="00D50450" w:rsidRDefault="004449C1" w:rsidP="004449C1">
            <w:pPr>
              <w:rPr>
                <w:rFonts w:ascii="Calibri Light" w:hAnsi="Calibri Light" w:cs="Calibri Light"/>
                <w:lang w:val="ro-RO"/>
              </w:rPr>
            </w:pPr>
          </w:p>
          <w:p w:rsidR="004449C1" w:rsidRPr="00363626" w:rsidRDefault="004449C1" w:rsidP="004449C1">
            <w:pPr>
              <w:jc w:val="center"/>
              <w:rPr>
                <w:rFonts w:ascii="Calibri Light" w:hAnsi="Calibri Light" w:cs="Calibri Light"/>
                <w:b/>
                <w:lang w:val="ro-RO"/>
              </w:rPr>
            </w:pPr>
            <w:r w:rsidRPr="00363626">
              <w:rPr>
                <w:rFonts w:ascii="Calibri Light" w:hAnsi="Calibri Light" w:cs="Calibri Light"/>
                <w:b/>
                <w:lang w:val="ro-RO"/>
              </w:rPr>
              <w:t>II.</w:t>
            </w:r>
          </w:p>
          <w:p w:rsidR="004449C1" w:rsidRPr="00D50450" w:rsidRDefault="004449C1" w:rsidP="004449C1">
            <w:pPr>
              <w:rPr>
                <w:rFonts w:ascii="Calibri Light" w:hAnsi="Calibri Light" w:cs="Calibri Light"/>
                <w:lang w:val="ro-RO"/>
              </w:rPr>
            </w:pPr>
          </w:p>
          <w:p w:rsidR="004449C1" w:rsidRPr="00D50450" w:rsidRDefault="004449C1" w:rsidP="004449C1">
            <w:pPr>
              <w:jc w:val="center"/>
              <w:rPr>
                <w:rFonts w:ascii="Calibri Light" w:hAnsi="Calibri Light" w:cs="Calibri Light"/>
                <w:b/>
                <w:bCs/>
                <w:i/>
                <w:iCs/>
                <w:color w:val="000000" w:themeColor="text1"/>
                <w:lang w:val="ro-RO"/>
              </w:rPr>
            </w:pPr>
            <w:r w:rsidRPr="00D50450">
              <w:rPr>
                <w:rFonts w:ascii="Arial" w:hAnsi="Arial" w:cs="Arial"/>
                <w:b/>
                <w:color w:val="212121"/>
                <w:shd w:val="clear" w:color="auto" w:fill="FFFFFF"/>
                <w:lang w:val="ro-RO"/>
              </w:rPr>
              <w:t>O</w:t>
            </w:r>
            <w:r w:rsidRPr="00D50450">
              <w:rPr>
                <w:rFonts w:ascii="Calibri Light" w:hAnsi="Calibri Light" w:cs="Calibri Light"/>
                <w:b/>
                <w:bCs/>
                <w:i/>
                <w:iCs/>
                <w:color w:val="000000" w:themeColor="text1"/>
                <w:lang w:val="ro-RO"/>
              </w:rPr>
              <w:t>biectivele de proiect detaliate</w:t>
            </w:r>
          </w:p>
          <w:p w:rsidR="004449C1" w:rsidRPr="00D50450" w:rsidRDefault="004449C1" w:rsidP="004449C1">
            <w:pPr>
              <w:rPr>
                <w:rFonts w:ascii="Arial" w:hAnsi="Arial" w:cs="Arial"/>
                <w:color w:val="212121"/>
                <w:shd w:val="clear" w:color="auto" w:fill="FFFFFF"/>
                <w:lang w:val="ro-RO"/>
              </w:rPr>
            </w:pPr>
          </w:p>
          <w:p w:rsidR="004449C1" w:rsidRPr="00D50450" w:rsidRDefault="004449C1" w:rsidP="004449C1">
            <w:pPr>
              <w:jc w:val="both"/>
              <w:rPr>
                <w:rFonts w:ascii="Arial" w:hAnsi="Arial" w:cs="Arial"/>
                <w:color w:val="212121"/>
                <w:shd w:val="clear" w:color="auto" w:fill="FFFFFF"/>
                <w:lang w:val="ro-RO"/>
              </w:rPr>
            </w:pPr>
            <w:r w:rsidRPr="00D50450">
              <w:rPr>
                <w:rFonts w:ascii="Arial" w:hAnsi="Arial" w:cs="Arial"/>
                <w:color w:val="212121"/>
                <w:shd w:val="clear" w:color="auto" w:fill="FFFFFF"/>
                <w:lang w:val="ro-RO"/>
              </w:rPr>
              <w:t>"</w:t>
            </w:r>
            <w:r w:rsidRPr="00E15903">
              <w:rPr>
                <w:rFonts w:ascii="Calibri Light" w:hAnsi="Calibri Light" w:cs="Calibri Light"/>
                <w:bCs/>
                <w:caps/>
                <w:lang w:val="ro-RO"/>
              </w:rPr>
              <w:t>Detașarea forţei de muncă cu drepturi egale pentru Munca în condiţii egale şi Concurenţa loială în Industria Metalurgică POS2COMI</w:t>
            </w:r>
            <w:r w:rsidRPr="00D50450">
              <w:rPr>
                <w:rFonts w:ascii="Arial" w:hAnsi="Arial" w:cs="Arial"/>
                <w:color w:val="212121"/>
                <w:shd w:val="clear" w:color="auto" w:fill="FFFFFF"/>
                <w:lang w:val="ro-RO"/>
              </w:rPr>
              <w:t xml:space="preserve"> " (în continuare: </w:t>
            </w:r>
            <w:r w:rsidRPr="00E15903">
              <w:rPr>
                <w:rFonts w:ascii="Arial" w:hAnsi="Arial" w:cs="Arial"/>
                <w:i/>
                <w:color w:val="212121"/>
                <w:shd w:val="clear" w:color="auto" w:fill="FFFFFF"/>
                <w:lang w:val="ro-RO"/>
              </w:rPr>
              <w:t>proiectul</w:t>
            </w:r>
            <w:r w:rsidRPr="00D50450">
              <w:rPr>
                <w:rFonts w:ascii="Arial" w:hAnsi="Arial" w:cs="Arial"/>
                <w:color w:val="212121"/>
                <w:shd w:val="clear" w:color="auto" w:fill="FFFFFF"/>
                <w:lang w:val="ro-RO"/>
              </w:rPr>
              <w:t xml:space="preserve">) a fost implementat din septembrie 2017 și obiectivele sale pot fi descrise după cum urmează: </w:t>
            </w:r>
          </w:p>
          <w:p w:rsidR="004449C1" w:rsidRPr="00D50450" w:rsidRDefault="004449C1" w:rsidP="004449C1">
            <w:pPr>
              <w:jc w:val="both"/>
              <w:rPr>
                <w:rFonts w:ascii="Arial" w:hAnsi="Arial" w:cs="Arial"/>
                <w:color w:val="212121"/>
                <w:shd w:val="clear" w:color="auto" w:fill="FFFFFF"/>
                <w:lang w:val="ro-RO"/>
              </w:rPr>
            </w:pPr>
          </w:p>
          <w:p w:rsidR="004449C1" w:rsidRPr="00D50450" w:rsidRDefault="004449C1" w:rsidP="004449C1">
            <w:pPr>
              <w:pStyle w:val="ListParagraph"/>
              <w:numPr>
                <w:ilvl w:val="0"/>
                <w:numId w:val="20"/>
              </w:numPr>
              <w:ind w:left="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contribuția la îmbunătățirea în continuare a cooperării translaționale între organismele naționale competente și partenerii sociali implicați în monitorizarea și aplic</w:t>
            </w:r>
            <w:r>
              <w:rPr>
                <w:rFonts w:ascii="Calibri Light" w:hAnsi="Calibri Light" w:cs="Calibri Light"/>
                <w:color w:val="000000" w:themeColor="text1"/>
                <w:lang w:val="ro-RO"/>
              </w:rPr>
              <w:t>area corectă a Directivei 96/71/</w:t>
            </w:r>
            <w:r w:rsidRPr="00D50450">
              <w:rPr>
                <w:rFonts w:ascii="Calibri Light" w:hAnsi="Calibri Light" w:cs="Calibri Light"/>
                <w:color w:val="000000" w:themeColor="text1"/>
                <w:lang w:val="ro-RO"/>
              </w:rPr>
              <w:t xml:space="preserve">CE a Parlamentului European și a Consiliului din 16 decembrie 1996 privind detașarea </w:t>
            </w:r>
            <w:r>
              <w:rPr>
                <w:rFonts w:ascii="Calibri Light" w:hAnsi="Calibri Light" w:cs="Calibri Light"/>
                <w:color w:val="000000" w:themeColor="text1"/>
                <w:lang w:val="ro-RO"/>
              </w:rPr>
              <w:t>forţei de muncă</w:t>
            </w:r>
            <w:r w:rsidRPr="00D50450">
              <w:rPr>
                <w:rFonts w:ascii="Calibri Light" w:hAnsi="Calibri Light" w:cs="Calibri Light"/>
                <w:color w:val="000000" w:themeColor="text1"/>
                <w:lang w:val="ro-RO"/>
              </w:rPr>
              <w:t xml:space="preserve"> în cadrul furniz</w:t>
            </w:r>
            <w:r>
              <w:rPr>
                <w:rFonts w:ascii="Calibri Light" w:hAnsi="Calibri Light" w:cs="Calibri Light"/>
                <w:color w:val="000000" w:themeColor="text1"/>
                <w:lang w:val="ro-RO"/>
              </w:rPr>
              <w:t>ării</w:t>
            </w:r>
            <w:r w:rsidRPr="00D50450">
              <w:rPr>
                <w:rFonts w:ascii="Calibri Light" w:hAnsi="Calibri Light" w:cs="Calibri Light"/>
                <w:color w:val="000000" w:themeColor="text1"/>
                <w:lang w:val="ro-RO"/>
              </w:rPr>
              <w:t xml:space="preserve"> de servicii,</w:t>
            </w:r>
            <w:r>
              <w:rPr>
                <w:rFonts w:ascii="Calibri Light" w:hAnsi="Calibri Light" w:cs="Calibri Light"/>
                <w:color w:val="000000" w:themeColor="text1"/>
                <w:lang w:val="ro-RO"/>
              </w:rPr>
              <w:t xml:space="preserve"> precum și a Directivei 2014/67/</w:t>
            </w:r>
            <w:r w:rsidRPr="00D50450">
              <w:rPr>
                <w:rFonts w:ascii="Calibri Light" w:hAnsi="Calibri Light" w:cs="Calibri Light"/>
                <w:color w:val="000000" w:themeColor="text1"/>
                <w:lang w:val="ro-RO"/>
              </w:rPr>
              <w:t>UE din 15 mai 2014 privind punerea</w:t>
            </w:r>
            <w:r>
              <w:rPr>
                <w:rFonts w:ascii="Calibri Light" w:hAnsi="Calibri Light" w:cs="Calibri Light"/>
                <w:color w:val="000000" w:themeColor="text1"/>
                <w:lang w:val="ro-RO"/>
              </w:rPr>
              <w:t xml:space="preserve"> în aplicare a Directivei 96/71/</w:t>
            </w:r>
            <w:r w:rsidRPr="00D50450">
              <w:rPr>
                <w:rFonts w:ascii="Calibri Light" w:hAnsi="Calibri Light" w:cs="Calibri Light"/>
                <w:color w:val="000000" w:themeColor="text1"/>
                <w:lang w:val="ro-RO"/>
              </w:rPr>
              <w:t xml:space="preserve">CE; </w:t>
            </w:r>
          </w:p>
          <w:p w:rsidR="004449C1" w:rsidRPr="00D50450" w:rsidRDefault="004449C1" w:rsidP="004449C1">
            <w:pPr>
              <w:pStyle w:val="ListParagraph"/>
              <w:numPr>
                <w:ilvl w:val="0"/>
                <w:numId w:val="20"/>
              </w:numPr>
              <w:ind w:left="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creșterea încrederii reciproce a părților interesate, inclusiv promovarea acțiunilor comune între partenerii sociali la diferite niveluri, schimbul de funcționari </w:t>
            </w:r>
            <w:r>
              <w:rPr>
                <w:rFonts w:ascii="Calibri Light" w:hAnsi="Calibri Light" w:cs="Calibri Light"/>
                <w:color w:val="000000" w:themeColor="text1"/>
                <w:lang w:val="ro-RO"/>
              </w:rPr>
              <w:t>adecvaţi</w:t>
            </w:r>
            <w:r w:rsidRPr="00D50450">
              <w:rPr>
                <w:rFonts w:ascii="Calibri Light" w:hAnsi="Calibri Light" w:cs="Calibri Light"/>
                <w:color w:val="000000" w:themeColor="text1"/>
                <w:lang w:val="ro-RO"/>
              </w:rPr>
              <w:t>, precum și formarea;</w:t>
            </w:r>
          </w:p>
          <w:p w:rsidR="004449C1" w:rsidRPr="00D50450" w:rsidRDefault="004449C1" w:rsidP="004449C1">
            <w:pPr>
              <w:pStyle w:val="ListParagraph"/>
              <w:numPr>
                <w:ilvl w:val="0"/>
                <w:numId w:val="20"/>
              </w:numPr>
              <w:ind w:left="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lastRenderedPageBreak/>
              <w:t xml:space="preserve">creșterea evaluării bazate pe dovezi a informațiilor și a datelor privind diferitele </w:t>
            </w:r>
            <w:r>
              <w:rPr>
                <w:rFonts w:ascii="Calibri Light" w:hAnsi="Calibri Light" w:cs="Calibri Light"/>
                <w:color w:val="000000" w:themeColor="text1"/>
                <w:lang w:val="ro-RO"/>
              </w:rPr>
              <w:t>implicaţii</w:t>
            </w:r>
            <w:r w:rsidRPr="00D50450">
              <w:rPr>
                <w:rFonts w:ascii="Calibri Light" w:hAnsi="Calibri Light" w:cs="Calibri Light"/>
                <w:color w:val="000000" w:themeColor="text1"/>
                <w:lang w:val="ro-RO"/>
              </w:rPr>
              <w:t xml:space="preserve"> ale detașării </w:t>
            </w:r>
            <w:r>
              <w:rPr>
                <w:rFonts w:ascii="Calibri Light" w:hAnsi="Calibri Light" w:cs="Calibri Light"/>
                <w:color w:val="000000" w:themeColor="text1"/>
                <w:lang w:val="ro-RO"/>
              </w:rPr>
              <w:t>de forţă de muncă</w:t>
            </w:r>
            <w:r w:rsidRPr="00D50450">
              <w:rPr>
                <w:rFonts w:ascii="Calibri Light" w:hAnsi="Calibri Light" w:cs="Calibri Light"/>
                <w:color w:val="000000" w:themeColor="text1"/>
                <w:lang w:val="ro-RO"/>
              </w:rPr>
              <w:t>,</w:t>
            </w:r>
          </w:p>
          <w:p w:rsidR="004449C1" w:rsidRPr="00D50450" w:rsidRDefault="004449C1" w:rsidP="004449C1">
            <w:pPr>
              <w:pStyle w:val="ListParagraph"/>
              <w:numPr>
                <w:ilvl w:val="0"/>
                <w:numId w:val="20"/>
              </w:numPr>
              <w:ind w:left="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sporirea accesibilității, transparenței și calității informațiilor privind condițiile de angajare care trebuie respectate și practicile actuale în statele membre ale UE în ceea ce privește monitorizarea și aplicarea dispozițiilor directivei privind detașarea </w:t>
            </w:r>
            <w:r>
              <w:rPr>
                <w:rFonts w:ascii="Calibri Light" w:hAnsi="Calibri Light" w:cs="Calibri Light"/>
                <w:color w:val="000000" w:themeColor="text1"/>
                <w:lang w:val="ro-RO"/>
              </w:rPr>
              <w:t>forţei de muncă</w:t>
            </w:r>
            <w:r w:rsidRPr="00D50450">
              <w:rPr>
                <w:rFonts w:ascii="Calibri Light" w:hAnsi="Calibri Light" w:cs="Calibri Light"/>
                <w:color w:val="000000" w:themeColor="text1"/>
                <w:lang w:val="ro-RO"/>
              </w:rPr>
              <w:t xml:space="preserve">, </w:t>
            </w:r>
          </w:p>
          <w:p w:rsidR="004449C1" w:rsidRPr="00D50450" w:rsidRDefault="004449C1" w:rsidP="004449C1">
            <w:pPr>
              <w:pStyle w:val="ListParagraph"/>
              <w:numPr>
                <w:ilvl w:val="0"/>
                <w:numId w:val="20"/>
              </w:numPr>
              <w:ind w:left="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definirea obstacolelor în calea accesării informațiilor privind drepturile </w:t>
            </w:r>
            <w:r>
              <w:rPr>
                <w:rFonts w:ascii="Calibri Light" w:hAnsi="Calibri Light" w:cs="Calibri Light"/>
                <w:color w:val="000000" w:themeColor="text1"/>
                <w:lang w:val="ro-RO"/>
              </w:rPr>
              <w:t>angajaţilor</w:t>
            </w:r>
            <w:r w:rsidRPr="00D50450">
              <w:rPr>
                <w:rFonts w:ascii="Calibri Light" w:hAnsi="Calibri Light" w:cs="Calibri Light"/>
                <w:color w:val="000000" w:themeColor="text1"/>
                <w:lang w:val="ro-RO"/>
              </w:rPr>
              <w:t xml:space="preserve"> detașați, precum și eliminarea acestor obstacole, </w:t>
            </w:r>
          </w:p>
          <w:p w:rsidR="004449C1" w:rsidRPr="00D50450" w:rsidRDefault="004449C1" w:rsidP="004449C1">
            <w:pPr>
              <w:pStyle w:val="ListParagraph"/>
              <w:numPr>
                <w:ilvl w:val="0"/>
                <w:numId w:val="20"/>
              </w:numPr>
              <w:ind w:left="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conștientizarea angajaților cu privire la rolul organizațiilor sindicale în procesul de detașare.</w:t>
            </w:r>
          </w:p>
          <w:p w:rsidR="004449C1" w:rsidRPr="00D50450" w:rsidRDefault="004449C1" w:rsidP="004449C1">
            <w:pPr>
              <w:pStyle w:val="ListParagraph"/>
              <w:numPr>
                <w:ilvl w:val="0"/>
                <w:numId w:val="20"/>
              </w:numPr>
              <w:ind w:left="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indicarea oportunităților de aprofundare a cunoștințelor </w:t>
            </w:r>
            <w:r>
              <w:rPr>
                <w:rFonts w:ascii="Calibri Light" w:hAnsi="Calibri Light" w:cs="Calibri Light"/>
                <w:color w:val="000000" w:themeColor="text1"/>
                <w:lang w:val="ro-RO"/>
              </w:rPr>
              <w:t>angajaţilor</w:t>
            </w:r>
            <w:r w:rsidRPr="00D50450">
              <w:rPr>
                <w:rFonts w:ascii="Calibri Light" w:hAnsi="Calibri Light" w:cs="Calibri Light"/>
                <w:color w:val="000000" w:themeColor="text1"/>
                <w:lang w:val="ro-RO"/>
              </w:rPr>
              <w:t xml:space="preserve"> detașați privind condițiile de muncă și de plată, drepturile și responsabilitățile </w:t>
            </w:r>
            <w:r>
              <w:rPr>
                <w:rFonts w:ascii="Calibri Light" w:hAnsi="Calibri Light" w:cs="Calibri Light"/>
                <w:color w:val="000000" w:themeColor="text1"/>
                <w:lang w:val="ro-RO"/>
              </w:rPr>
              <w:t>angajaţilor</w:t>
            </w:r>
            <w:r w:rsidRPr="00D50450">
              <w:rPr>
                <w:rFonts w:ascii="Calibri Light" w:hAnsi="Calibri Light" w:cs="Calibri Light"/>
                <w:color w:val="000000" w:themeColor="text1"/>
                <w:lang w:val="ro-RO"/>
              </w:rPr>
              <w:t>, reglementările sociale și fiscale la locul de muncă,</w:t>
            </w:r>
          </w:p>
          <w:p w:rsidR="004449C1" w:rsidRPr="00D50450" w:rsidRDefault="004449C1" w:rsidP="004449C1">
            <w:pPr>
              <w:pStyle w:val="ListParagraph"/>
              <w:numPr>
                <w:ilvl w:val="0"/>
                <w:numId w:val="20"/>
              </w:numPr>
              <w:ind w:left="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promovarea cooperării internaționale între părțile interesate </w:t>
            </w:r>
            <w:r>
              <w:rPr>
                <w:rFonts w:ascii="Calibri Light" w:hAnsi="Calibri Light" w:cs="Calibri Light"/>
                <w:color w:val="000000" w:themeColor="text1"/>
                <w:lang w:val="ro-RO"/>
              </w:rPr>
              <w:t>în domeniul</w:t>
            </w:r>
            <w:r w:rsidRPr="00D50450">
              <w:rPr>
                <w:rFonts w:ascii="Calibri Light" w:hAnsi="Calibri Light" w:cs="Calibri Light"/>
                <w:color w:val="000000" w:themeColor="text1"/>
                <w:lang w:val="ro-RO"/>
              </w:rPr>
              <w:t xml:space="preserve"> în cauză</w:t>
            </w:r>
            <w:r>
              <w:rPr>
                <w:rFonts w:ascii="Calibri Light" w:hAnsi="Calibri Light" w:cs="Calibri Light"/>
                <w:color w:val="000000" w:themeColor="text1"/>
                <w:lang w:val="ro-RO"/>
              </w:rPr>
              <w:t>,</w:t>
            </w:r>
          </w:p>
          <w:p w:rsidR="004449C1" w:rsidRPr="00D50450" w:rsidRDefault="004449C1" w:rsidP="004449C1">
            <w:pPr>
              <w:pStyle w:val="ListParagraph"/>
              <w:numPr>
                <w:ilvl w:val="0"/>
                <w:numId w:val="20"/>
              </w:numPr>
              <w:ind w:left="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indicarea problemelor care afectează cel mai frecvent </w:t>
            </w:r>
            <w:r>
              <w:rPr>
                <w:rFonts w:ascii="Calibri Light" w:hAnsi="Calibri Light" w:cs="Calibri Light"/>
                <w:color w:val="000000" w:themeColor="text1"/>
                <w:lang w:val="ro-RO"/>
              </w:rPr>
              <w:t>forţa de muncă detașată</w:t>
            </w:r>
            <w:r w:rsidRPr="00D50450">
              <w:rPr>
                <w:rFonts w:ascii="Calibri Light" w:hAnsi="Calibri Light" w:cs="Calibri Light"/>
                <w:color w:val="000000" w:themeColor="text1"/>
                <w:lang w:val="ro-RO"/>
              </w:rPr>
              <w:t>,</w:t>
            </w:r>
          </w:p>
          <w:p w:rsidR="004449C1" w:rsidRPr="00D50450" w:rsidRDefault="004449C1" w:rsidP="004449C1">
            <w:pPr>
              <w:pStyle w:val="ListParagraph"/>
              <w:numPr>
                <w:ilvl w:val="0"/>
                <w:numId w:val="20"/>
              </w:numPr>
              <w:ind w:left="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prezentarea posibilităților de apărare a drepturilor și intereselor acestora.</w:t>
            </w:r>
          </w:p>
          <w:p w:rsidR="004449C1" w:rsidRPr="00363626" w:rsidRDefault="004449C1" w:rsidP="004449C1">
            <w:pPr>
              <w:ind w:firstLine="708"/>
              <w:jc w:val="center"/>
              <w:rPr>
                <w:rFonts w:ascii="Calibri Light" w:hAnsi="Calibri Light" w:cs="Calibri Light"/>
                <w:b/>
                <w:bCs/>
                <w:i/>
                <w:iCs/>
                <w:color w:val="000000" w:themeColor="text1"/>
                <w:lang w:val="ro-RO"/>
              </w:rPr>
            </w:pPr>
            <w:r w:rsidRPr="00D50450">
              <w:rPr>
                <w:lang w:val="ro-RO"/>
              </w:rPr>
              <w:br/>
            </w:r>
            <w:r w:rsidRPr="00363626">
              <w:rPr>
                <w:rFonts w:ascii="Calibri Light" w:hAnsi="Calibri Light" w:cs="Calibri Light"/>
                <w:b/>
                <w:color w:val="000000" w:themeColor="text1"/>
                <w:lang w:val="ro-RO"/>
              </w:rPr>
              <w:t>III</w:t>
            </w:r>
            <w:r w:rsidRPr="00363626">
              <w:rPr>
                <w:rFonts w:ascii="Calibri Light" w:hAnsi="Calibri Light" w:cs="Calibri Light"/>
                <w:b/>
                <w:bCs/>
                <w:i/>
                <w:iCs/>
                <w:color w:val="000000" w:themeColor="text1"/>
                <w:lang w:val="ro-RO"/>
              </w:rPr>
              <w:t>.</w:t>
            </w:r>
          </w:p>
          <w:p w:rsidR="004449C1" w:rsidRPr="00D50450" w:rsidRDefault="004449C1" w:rsidP="004449C1">
            <w:pPr>
              <w:ind w:firstLine="708"/>
              <w:jc w:val="center"/>
              <w:rPr>
                <w:rFonts w:ascii="Calibri Light" w:hAnsi="Calibri Light" w:cs="Calibri Light"/>
                <w:b/>
                <w:bCs/>
                <w:i/>
                <w:iCs/>
                <w:color w:val="000000" w:themeColor="text1"/>
                <w:lang w:val="ro-RO"/>
              </w:rPr>
            </w:pPr>
            <w:r w:rsidRPr="00D50450">
              <w:rPr>
                <w:rFonts w:ascii="Calibri Light" w:hAnsi="Calibri Light" w:cs="Calibri Light"/>
                <w:b/>
                <w:bCs/>
                <w:i/>
                <w:iCs/>
                <w:color w:val="000000" w:themeColor="text1"/>
                <w:lang w:val="ro-RO"/>
              </w:rPr>
              <w:t>Caracteristicile juridice ale detașării</w:t>
            </w:r>
            <w:r w:rsidR="00F845EC">
              <w:rPr>
                <w:rFonts w:ascii="Calibri Light" w:hAnsi="Calibri Light" w:cs="Calibri Light"/>
                <w:b/>
                <w:bCs/>
                <w:i/>
                <w:iCs/>
                <w:color w:val="000000" w:themeColor="text1"/>
                <w:lang w:val="ro-RO"/>
              </w:rPr>
              <w:t xml:space="preserve"> forţei de muncă</w:t>
            </w:r>
          </w:p>
          <w:p w:rsidR="004449C1" w:rsidRPr="00D50450" w:rsidRDefault="004449C1" w:rsidP="004449C1">
            <w:pPr>
              <w:ind w:firstLine="708"/>
              <w:rPr>
                <w:rFonts w:ascii="Arial" w:hAnsi="Arial" w:cs="Arial"/>
                <w:color w:val="212121"/>
                <w:shd w:val="clear" w:color="auto" w:fill="FFFFFF"/>
                <w:lang w:val="ro-RO"/>
              </w:rPr>
            </w:pPr>
          </w:p>
          <w:p w:rsidR="004449C1" w:rsidRPr="00D50450" w:rsidRDefault="004449C1" w:rsidP="004449C1">
            <w:pPr>
              <w:ind w:firstLine="708"/>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Pentru prima dată, </w:t>
            </w:r>
            <w:r>
              <w:rPr>
                <w:rFonts w:ascii="Calibri Light" w:hAnsi="Calibri Light" w:cs="Calibri Light"/>
                <w:color w:val="000000" w:themeColor="text1"/>
                <w:lang w:val="ro-RO"/>
              </w:rPr>
              <w:t>domeniul privind detașare</w:t>
            </w:r>
            <w:r w:rsidRPr="00D50450">
              <w:rPr>
                <w:rFonts w:ascii="Calibri Light" w:hAnsi="Calibri Light" w:cs="Calibri Light"/>
                <w:color w:val="000000" w:themeColor="text1"/>
                <w:lang w:val="ro-RO"/>
              </w:rPr>
              <w:t xml:space="preserve">a </w:t>
            </w:r>
            <w:r>
              <w:rPr>
                <w:rFonts w:ascii="Calibri Light" w:hAnsi="Calibri Light" w:cs="Calibri Light"/>
                <w:color w:val="000000" w:themeColor="text1"/>
                <w:lang w:val="ro-RO"/>
              </w:rPr>
              <w:t>forţei de muncă</w:t>
            </w:r>
            <w:r w:rsidRPr="00D50450">
              <w:rPr>
                <w:rFonts w:ascii="Calibri Light" w:hAnsi="Calibri Light" w:cs="Calibri Light"/>
                <w:color w:val="000000" w:themeColor="text1"/>
                <w:lang w:val="ro-RO"/>
              </w:rPr>
              <w:t xml:space="preserve"> în cadrul fluxului de servicii  liber</w:t>
            </w:r>
            <w:r>
              <w:rPr>
                <w:rFonts w:ascii="Calibri Light" w:hAnsi="Calibri Light" w:cs="Calibri Light"/>
                <w:color w:val="000000" w:themeColor="text1"/>
                <w:lang w:val="ro-RO"/>
              </w:rPr>
              <w:t>e</w:t>
            </w:r>
            <w:r w:rsidRPr="00D50450">
              <w:rPr>
                <w:rFonts w:ascii="Calibri Light" w:hAnsi="Calibri Light" w:cs="Calibri Light"/>
                <w:color w:val="000000" w:themeColor="text1"/>
                <w:lang w:val="ro-RO"/>
              </w:rPr>
              <w:t xml:space="preserve"> pe piața comună a fost reglem</w:t>
            </w:r>
            <w:r>
              <w:rPr>
                <w:rFonts w:ascii="Calibri Light" w:hAnsi="Calibri Light" w:cs="Calibri Light"/>
                <w:color w:val="000000" w:themeColor="text1"/>
                <w:lang w:val="ro-RO"/>
              </w:rPr>
              <w:t>entat</w:t>
            </w:r>
            <w:r w:rsidRPr="00D50450">
              <w:rPr>
                <w:rFonts w:ascii="Calibri Light" w:hAnsi="Calibri Light" w:cs="Calibri Light"/>
                <w:color w:val="000000" w:themeColor="text1"/>
                <w:lang w:val="ro-RO"/>
              </w:rPr>
              <w:t xml:space="preserve"> în 1996, </w:t>
            </w:r>
            <w:r>
              <w:rPr>
                <w:rFonts w:ascii="Calibri Light" w:hAnsi="Calibri Light" w:cs="Calibri Light"/>
                <w:color w:val="000000" w:themeColor="text1"/>
                <w:lang w:val="ro-RO"/>
              </w:rPr>
              <w:t>prin</w:t>
            </w:r>
            <w:r w:rsidRPr="00D50450">
              <w:rPr>
                <w:rFonts w:ascii="Calibri Light" w:hAnsi="Calibri Light" w:cs="Calibri Light"/>
                <w:color w:val="000000" w:themeColor="text1"/>
                <w:lang w:val="ro-RO"/>
              </w:rPr>
              <w:t xml:space="preserve"> adoptarea Directivei 96/71</w:t>
            </w:r>
            <w:r>
              <w:rPr>
                <w:rFonts w:ascii="Calibri Light" w:hAnsi="Calibri Light" w:cs="Calibri Light"/>
                <w:color w:val="000000" w:themeColor="text1"/>
                <w:lang w:val="ro-RO"/>
              </w:rPr>
              <w:t>/</w:t>
            </w:r>
            <w:r w:rsidRPr="00D50450">
              <w:rPr>
                <w:rFonts w:ascii="Calibri Light" w:hAnsi="Calibri Light" w:cs="Calibri Light"/>
                <w:color w:val="000000" w:themeColor="text1"/>
                <w:lang w:val="ro-RO"/>
              </w:rPr>
              <w:t xml:space="preserve">CE (în continuare: </w:t>
            </w:r>
            <w:r w:rsidRPr="004E7C35">
              <w:rPr>
                <w:rFonts w:ascii="Calibri Light" w:hAnsi="Calibri Light" w:cs="Calibri Light"/>
                <w:i/>
                <w:color w:val="000000" w:themeColor="text1"/>
                <w:lang w:val="ro-RO"/>
              </w:rPr>
              <w:t>directiva</w:t>
            </w:r>
            <w:r w:rsidRPr="00D50450">
              <w:rPr>
                <w:rFonts w:ascii="Calibri Light" w:hAnsi="Calibri Light" w:cs="Calibri Light"/>
                <w:color w:val="000000" w:themeColor="text1"/>
                <w:lang w:val="ro-RO"/>
              </w:rPr>
              <w:t>), care este încă valabilă</w:t>
            </w:r>
            <w:r w:rsidRPr="00BD3788">
              <w:rPr>
                <w:rFonts w:ascii="Calibri Light" w:hAnsi="Calibri Light" w:cs="Calibri Light"/>
                <w:color w:val="FF0000"/>
                <w:lang w:val="ro-RO"/>
              </w:rPr>
              <w:t>.</w:t>
            </w:r>
            <w:r w:rsidRPr="00BD3788">
              <w:rPr>
                <w:rStyle w:val="FootnoteReference"/>
                <w:rFonts w:ascii="Calibri Light" w:hAnsi="Calibri Light" w:cs="Calibri Light"/>
                <w:color w:val="FF0000"/>
                <w:lang w:val="en-GB"/>
              </w:rPr>
              <w:footnoteReference w:id="1"/>
            </w:r>
            <w:r w:rsidRPr="00B56109">
              <w:rPr>
                <w:rFonts w:ascii="Calibri Light" w:hAnsi="Calibri Light" w:cs="Calibri Light"/>
                <w:color w:val="000000" w:themeColor="text1"/>
                <w:lang w:val="es-ES_tradnl"/>
              </w:rPr>
              <w:t xml:space="preserve"> </w:t>
            </w:r>
            <w:r w:rsidRPr="00D50450">
              <w:rPr>
                <w:rFonts w:ascii="Calibri Light" w:hAnsi="Calibri Light" w:cs="Calibri Light"/>
                <w:color w:val="000000" w:themeColor="text1"/>
                <w:lang w:val="ro-RO"/>
              </w:rPr>
              <w:t xml:space="preserve"> Statelor membre li s</w:t>
            </w:r>
            <w:r>
              <w:rPr>
                <w:rFonts w:ascii="Calibri Light" w:hAnsi="Calibri Light" w:cs="Calibri Light"/>
                <w:color w:val="000000" w:themeColor="text1"/>
                <w:lang w:val="ro-RO"/>
              </w:rPr>
              <w:t>-</w:t>
            </w:r>
            <w:r w:rsidRPr="00D50450">
              <w:rPr>
                <w:rFonts w:ascii="Calibri Light" w:hAnsi="Calibri Light" w:cs="Calibri Light"/>
                <w:color w:val="000000" w:themeColor="text1"/>
                <w:lang w:val="ro-RO"/>
              </w:rPr>
              <w:t xml:space="preserve">a acordat </w:t>
            </w:r>
            <w:r>
              <w:rPr>
                <w:rFonts w:ascii="Calibri Light" w:hAnsi="Calibri Light" w:cs="Calibri Light"/>
                <w:color w:val="000000" w:themeColor="text1"/>
                <w:lang w:val="ro-RO"/>
              </w:rPr>
              <w:t>termen</w:t>
            </w:r>
            <w:r w:rsidRPr="00D50450">
              <w:rPr>
                <w:rFonts w:ascii="Calibri Light" w:hAnsi="Calibri Light" w:cs="Calibri Light"/>
                <w:color w:val="000000" w:themeColor="text1"/>
                <w:lang w:val="ro-RO"/>
              </w:rPr>
              <w:t xml:space="preserve"> până la 16 decembrie 1999 pentru adoptarea </w:t>
            </w:r>
            <w:r>
              <w:rPr>
                <w:rFonts w:ascii="Calibri Light" w:hAnsi="Calibri Light" w:cs="Calibri Light"/>
                <w:color w:val="000000" w:themeColor="text1"/>
                <w:lang w:val="ro-RO"/>
              </w:rPr>
              <w:t>de</w:t>
            </w:r>
            <w:r w:rsidRPr="00D50450">
              <w:rPr>
                <w:rFonts w:ascii="Calibri Light" w:hAnsi="Calibri Light" w:cs="Calibri Light"/>
                <w:color w:val="000000" w:themeColor="text1"/>
                <w:lang w:val="ro-RO"/>
              </w:rPr>
              <w:t xml:space="preserve"> noi </w:t>
            </w:r>
            <w:r>
              <w:rPr>
                <w:rFonts w:ascii="Calibri Light" w:hAnsi="Calibri Light" w:cs="Calibri Light"/>
                <w:color w:val="000000" w:themeColor="text1"/>
                <w:lang w:val="ro-RO"/>
              </w:rPr>
              <w:t>reglementări</w:t>
            </w:r>
            <w:r w:rsidRPr="00D50450">
              <w:rPr>
                <w:rFonts w:ascii="Calibri Light" w:hAnsi="Calibri Light" w:cs="Calibri Light"/>
                <w:color w:val="000000" w:themeColor="text1"/>
                <w:lang w:val="ro-RO"/>
              </w:rPr>
              <w:t xml:space="preserve">. </w:t>
            </w:r>
          </w:p>
          <w:p w:rsidR="004449C1" w:rsidRPr="00D50450" w:rsidRDefault="004449C1" w:rsidP="004449C1">
            <w:pPr>
              <w:ind w:firstLine="708"/>
              <w:jc w:val="both"/>
              <w:rPr>
                <w:rFonts w:ascii="Calibri Light" w:hAnsi="Calibri Light" w:cs="Calibri Light"/>
                <w:color w:val="000000" w:themeColor="text1"/>
                <w:lang w:val="ro-RO"/>
              </w:rPr>
            </w:pPr>
            <w:r>
              <w:rPr>
                <w:rFonts w:ascii="Calibri Light" w:hAnsi="Calibri Light" w:cs="Calibri Light"/>
                <w:color w:val="000000" w:themeColor="text1"/>
                <w:lang w:val="ro-RO"/>
              </w:rPr>
              <w:t xml:space="preserve">În primul rând, directiva indica </w:t>
            </w:r>
            <w:r w:rsidRPr="00D50450">
              <w:rPr>
                <w:rFonts w:ascii="Calibri Light" w:hAnsi="Calibri Light" w:cs="Calibri Light"/>
                <w:color w:val="000000" w:themeColor="text1"/>
                <w:lang w:val="ro-RO"/>
              </w:rPr>
              <w:t xml:space="preserve">o regulă generală </w:t>
            </w:r>
            <w:r>
              <w:rPr>
                <w:rFonts w:ascii="Calibri Light" w:hAnsi="Calibri Light" w:cs="Calibri Light"/>
                <w:color w:val="000000" w:themeColor="text1"/>
                <w:lang w:val="ro-RO"/>
              </w:rPr>
              <w:t>privind</w:t>
            </w:r>
            <w:r w:rsidRPr="00D50450">
              <w:rPr>
                <w:rFonts w:ascii="Calibri Light" w:hAnsi="Calibri Light" w:cs="Calibri Light"/>
                <w:color w:val="000000" w:themeColor="text1"/>
                <w:lang w:val="ro-RO"/>
              </w:rPr>
              <w:t xml:space="preserve"> posibilit</w:t>
            </w:r>
            <w:r>
              <w:rPr>
                <w:rFonts w:ascii="Calibri Light" w:hAnsi="Calibri Light" w:cs="Calibri Light"/>
                <w:color w:val="000000" w:themeColor="text1"/>
                <w:lang w:val="ro-RO"/>
              </w:rPr>
              <w:t>atea</w:t>
            </w:r>
            <w:r w:rsidRPr="00D50450">
              <w:rPr>
                <w:rFonts w:ascii="Calibri Light" w:hAnsi="Calibri Light" w:cs="Calibri Light"/>
                <w:color w:val="000000" w:themeColor="text1"/>
                <w:lang w:val="ro-RO"/>
              </w:rPr>
              <w:t xml:space="preserve"> de delegare temporară (detașare) a angajaților proprii pentru a desfășura o activitate în alt stat membru al UE </w:t>
            </w:r>
            <w:r>
              <w:rPr>
                <w:rFonts w:ascii="Calibri Light" w:hAnsi="Calibri Light" w:cs="Calibri Light"/>
                <w:color w:val="000000" w:themeColor="text1"/>
                <w:lang w:val="ro-RO"/>
              </w:rPr>
              <w:t>în</w:t>
            </w:r>
            <w:r w:rsidRPr="00D50450">
              <w:rPr>
                <w:rFonts w:ascii="Calibri Light" w:hAnsi="Calibri Light" w:cs="Calibri Light"/>
                <w:color w:val="000000" w:themeColor="text1"/>
                <w:lang w:val="ro-RO"/>
              </w:rPr>
              <w:t xml:space="preserve"> ideea de a înlătura obstacolele din calea liberei circulații a persoanelor și a serviciilor. În urma acestei reg</w:t>
            </w:r>
            <w:r>
              <w:rPr>
                <w:rFonts w:ascii="Calibri Light" w:hAnsi="Calibri Light" w:cs="Calibri Light"/>
                <w:color w:val="000000" w:themeColor="text1"/>
                <w:lang w:val="ro-RO"/>
              </w:rPr>
              <w:t>lementări</w:t>
            </w:r>
            <w:r w:rsidRPr="00D50450">
              <w:rPr>
                <w:rFonts w:ascii="Calibri Light" w:hAnsi="Calibri Light" w:cs="Calibri Light"/>
                <w:color w:val="000000" w:themeColor="text1"/>
                <w:lang w:val="ro-RO"/>
              </w:rPr>
              <w:t>, au fost introduse reglementări juridice corespunzătoare, care viz</w:t>
            </w:r>
            <w:r>
              <w:rPr>
                <w:rFonts w:ascii="Calibri Light" w:hAnsi="Calibri Light" w:cs="Calibri Light"/>
                <w:color w:val="000000" w:themeColor="text1"/>
                <w:lang w:val="ro-RO"/>
              </w:rPr>
              <w:t>au</w:t>
            </w:r>
            <w:r w:rsidRPr="00D50450">
              <w:rPr>
                <w:rFonts w:ascii="Calibri Light" w:hAnsi="Calibri Light" w:cs="Calibri Light"/>
                <w:color w:val="000000" w:themeColor="text1"/>
                <w:lang w:val="ro-RO"/>
              </w:rPr>
              <w:t xml:space="preserve"> asigurarea unor standarde de angajare adecvate și eliminarea incertitudinii în domeniul furnizării de servicii. Directiva subliniază foarte clar faptul că promovarea furnizării de servicii necesită o concurență loială și înseamnă garantarea respectării drepturilor </w:t>
            </w:r>
            <w:r>
              <w:rPr>
                <w:rFonts w:ascii="Calibri Light" w:hAnsi="Calibri Light" w:cs="Calibri Light"/>
                <w:color w:val="000000" w:themeColor="text1"/>
                <w:lang w:val="ro-RO"/>
              </w:rPr>
              <w:t>angajaţilor</w:t>
            </w:r>
            <w:r w:rsidRPr="00D50450">
              <w:rPr>
                <w:rFonts w:ascii="Calibri Light" w:hAnsi="Calibri Light" w:cs="Calibri Light"/>
                <w:color w:val="000000" w:themeColor="text1"/>
                <w:lang w:val="ro-RO"/>
              </w:rPr>
              <w:t>. Statutul juri</w:t>
            </w:r>
            <w:r>
              <w:rPr>
                <w:rFonts w:ascii="Calibri Light" w:hAnsi="Calibri Light" w:cs="Calibri Light"/>
                <w:color w:val="000000" w:themeColor="text1"/>
                <w:lang w:val="ro-RO"/>
              </w:rPr>
              <w:t>dic actual nu a fost de înțeles</w:t>
            </w:r>
            <w:r w:rsidRPr="00D50450">
              <w:rPr>
                <w:rFonts w:ascii="Calibri Light" w:hAnsi="Calibri Light" w:cs="Calibri Light"/>
                <w:color w:val="000000" w:themeColor="text1"/>
                <w:lang w:val="ro-RO"/>
              </w:rPr>
              <w:t xml:space="preserve"> clar și nici nu a garantat </w:t>
            </w:r>
            <w:r>
              <w:rPr>
                <w:rFonts w:ascii="Calibri Light" w:hAnsi="Calibri Light" w:cs="Calibri Light"/>
                <w:color w:val="000000" w:themeColor="text1"/>
                <w:lang w:val="ro-RO"/>
              </w:rPr>
              <w:t>angajaţilor</w:t>
            </w:r>
            <w:r w:rsidRPr="00D50450">
              <w:rPr>
                <w:rFonts w:ascii="Calibri Light" w:hAnsi="Calibri Light" w:cs="Calibri Light"/>
                <w:color w:val="000000" w:themeColor="text1"/>
                <w:lang w:val="ro-RO"/>
              </w:rPr>
              <w:t xml:space="preserve"> detașați un nivel adecvat de protecție, ceea ce a făcut ca situația </w:t>
            </w:r>
            <w:r>
              <w:rPr>
                <w:rFonts w:ascii="Calibri Light" w:hAnsi="Calibri Light" w:cs="Calibri Light"/>
                <w:color w:val="000000" w:themeColor="text1"/>
                <w:lang w:val="ro-RO"/>
              </w:rPr>
              <w:t>angajaţilor</w:t>
            </w:r>
            <w:r w:rsidRPr="00D50450">
              <w:rPr>
                <w:rFonts w:ascii="Calibri Light" w:hAnsi="Calibri Light" w:cs="Calibri Light"/>
                <w:color w:val="000000" w:themeColor="text1"/>
                <w:lang w:val="ro-RO"/>
              </w:rPr>
              <w:t xml:space="preserve"> detașați să fie</w:t>
            </w:r>
            <w:r>
              <w:rPr>
                <w:rFonts w:ascii="Calibri Light" w:hAnsi="Calibri Light" w:cs="Calibri Light"/>
                <w:color w:val="000000" w:themeColor="text1"/>
                <w:lang w:val="ro-RO"/>
              </w:rPr>
              <w:t xml:space="preserve"> una</w:t>
            </w:r>
            <w:r w:rsidRPr="00D50450">
              <w:rPr>
                <w:rFonts w:ascii="Calibri Light" w:hAnsi="Calibri Light" w:cs="Calibri Light"/>
                <w:color w:val="000000" w:themeColor="text1"/>
                <w:lang w:val="ro-RO"/>
              </w:rPr>
              <w:t xml:space="preserve"> nefavorabilă. </w:t>
            </w:r>
          </w:p>
          <w:p w:rsidR="004449C1" w:rsidRPr="00D50450" w:rsidRDefault="004449C1" w:rsidP="004449C1">
            <w:pPr>
              <w:ind w:firstLine="708"/>
              <w:jc w:val="both"/>
              <w:rPr>
                <w:rFonts w:ascii="Calibri Light" w:hAnsi="Calibri Light" w:cs="Calibri Light"/>
                <w:color w:val="000000" w:themeColor="text1"/>
                <w:lang w:val="ro-RO"/>
              </w:rPr>
            </w:pPr>
            <w:r w:rsidRPr="00D70FDB">
              <w:rPr>
                <w:rFonts w:ascii="Calibri Light" w:hAnsi="Calibri Light" w:cs="Calibri Light"/>
                <w:lang w:val="ro-RO"/>
              </w:rPr>
              <w:t xml:space="preserve">În conformitate cu art. 1 din directivă, dispozițiile </w:t>
            </w:r>
            <w:r w:rsidRPr="00D50450">
              <w:rPr>
                <w:rFonts w:ascii="Calibri Light" w:hAnsi="Calibri Light" w:cs="Calibri Light"/>
                <w:color w:val="000000" w:themeColor="text1"/>
                <w:lang w:val="ro-RO"/>
              </w:rPr>
              <w:t>sale se aplică prestării temporare și transfrontaliere de servicii constând în:</w:t>
            </w:r>
          </w:p>
          <w:p w:rsidR="004449C1" w:rsidRPr="00D50450" w:rsidRDefault="004449C1" w:rsidP="004449C1">
            <w:pPr>
              <w:pStyle w:val="HTMLPreformatted"/>
              <w:numPr>
                <w:ilvl w:val="0"/>
                <w:numId w:val="21"/>
              </w:numPr>
              <w:shd w:val="clear" w:color="auto" w:fill="FFFFFF"/>
              <w:ind w:left="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detașarea </w:t>
            </w:r>
            <w:r>
              <w:rPr>
                <w:rFonts w:ascii="Calibri Light" w:eastAsiaTheme="minorHAnsi" w:hAnsi="Calibri Light" w:cs="Calibri Light"/>
                <w:color w:val="000000" w:themeColor="text1"/>
                <w:sz w:val="22"/>
                <w:szCs w:val="22"/>
                <w:lang w:val="ro-RO"/>
              </w:rPr>
              <w:t>forţei de muncă</w:t>
            </w:r>
            <w:r w:rsidRPr="00D50450">
              <w:rPr>
                <w:rFonts w:ascii="Calibri Light" w:eastAsiaTheme="minorHAnsi" w:hAnsi="Calibri Light" w:cs="Calibri Light"/>
                <w:color w:val="000000" w:themeColor="text1"/>
                <w:sz w:val="22"/>
                <w:szCs w:val="22"/>
                <w:lang w:val="ro-RO"/>
              </w:rPr>
              <w:t xml:space="preserve"> de către o societate pe cont propriu și sub îndrumarea sa pe teritoriul unui alt stat membru, în temeiul unui acord încheiat între compania de detașare și beneficiarul serviciilor care operează într-un anumit stat membru, cu condiția existenței unui raport de muncă între compania de detașare și </w:t>
            </w:r>
            <w:r>
              <w:rPr>
                <w:rFonts w:ascii="Calibri Light" w:eastAsiaTheme="minorHAnsi" w:hAnsi="Calibri Light" w:cs="Calibri Light"/>
                <w:color w:val="000000" w:themeColor="text1"/>
                <w:sz w:val="22"/>
                <w:szCs w:val="22"/>
                <w:lang w:val="ro-RO"/>
              </w:rPr>
              <w:t>persoana detaşata,</w:t>
            </w:r>
            <w:r w:rsidRPr="00D50450">
              <w:rPr>
                <w:rFonts w:ascii="Calibri Light" w:eastAsiaTheme="minorHAnsi" w:hAnsi="Calibri Light" w:cs="Calibri Light"/>
                <w:color w:val="000000" w:themeColor="text1"/>
                <w:sz w:val="22"/>
                <w:szCs w:val="22"/>
                <w:lang w:val="ro-RO"/>
              </w:rPr>
              <w:t xml:space="preserve"> în perioada de detașare,</w:t>
            </w:r>
          </w:p>
          <w:p w:rsidR="004449C1" w:rsidRPr="00D50450" w:rsidRDefault="004449C1" w:rsidP="004449C1">
            <w:pPr>
              <w:pStyle w:val="HTMLPreformatted"/>
              <w:numPr>
                <w:ilvl w:val="0"/>
                <w:numId w:val="21"/>
              </w:numPr>
              <w:shd w:val="clear" w:color="auto" w:fill="FFFFFF"/>
              <w:ind w:left="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detașarea </w:t>
            </w:r>
            <w:r>
              <w:rPr>
                <w:rFonts w:ascii="Calibri Light" w:eastAsiaTheme="minorHAnsi" w:hAnsi="Calibri Light" w:cs="Calibri Light"/>
                <w:color w:val="000000" w:themeColor="text1"/>
                <w:sz w:val="22"/>
                <w:szCs w:val="22"/>
                <w:lang w:val="ro-RO"/>
              </w:rPr>
              <w:t>forţei de muncă</w:t>
            </w:r>
            <w:r w:rsidRPr="00D50450">
              <w:rPr>
                <w:rFonts w:ascii="Calibri Light" w:eastAsiaTheme="minorHAnsi" w:hAnsi="Calibri Light" w:cs="Calibri Light"/>
                <w:color w:val="000000" w:themeColor="text1"/>
                <w:sz w:val="22"/>
                <w:szCs w:val="22"/>
                <w:lang w:val="ro-RO"/>
              </w:rPr>
              <w:t xml:space="preserve"> într-o unitate a unei întreprinderi care face parte dintr-un grup de întreprinzători pe teritoriul unui alt stat membru, cu condiția existenței unui raport de muncă între  compania de detașare și </w:t>
            </w:r>
            <w:r>
              <w:rPr>
                <w:rFonts w:ascii="Calibri Light" w:eastAsiaTheme="minorHAnsi" w:hAnsi="Calibri Light" w:cs="Calibri Light"/>
                <w:color w:val="000000" w:themeColor="text1"/>
                <w:sz w:val="22"/>
                <w:szCs w:val="22"/>
                <w:lang w:val="ro-RO"/>
              </w:rPr>
              <w:t>persoana detaşata,</w:t>
            </w:r>
            <w:r w:rsidRPr="00D50450">
              <w:rPr>
                <w:rFonts w:ascii="Calibri Light" w:eastAsiaTheme="minorHAnsi" w:hAnsi="Calibri Light" w:cs="Calibri Light"/>
                <w:color w:val="000000" w:themeColor="text1"/>
                <w:sz w:val="22"/>
                <w:szCs w:val="22"/>
                <w:lang w:val="ro-RO"/>
              </w:rPr>
              <w:t xml:space="preserve"> în perioada de detașare,</w:t>
            </w:r>
          </w:p>
          <w:p w:rsidR="004449C1" w:rsidRPr="00D50450" w:rsidRDefault="004449C1" w:rsidP="004449C1">
            <w:pPr>
              <w:pStyle w:val="HTMLPreformatted"/>
              <w:numPr>
                <w:ilvl w:val="0"/>
                <w:numId w:val="21"/>
              </w:numPr>
              <w:shd w:val="clear" w:color="auto" w:fill="FFFFFF"/>
              <w:ind w:left="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detașarea </w:t>
            </w:r>
            <w:r>
              <w:rPr>
                <w:rFonts w:ascii="Calibri Light" w:eastAsiaTheme="minorHAnsi" w:hAnsi="Calibri Light" w:cs="Calibri Light"/>
                <w:color w:val="000000" w:themeColor="text1"/>
                <w:sz w:val="22"/>
                <w:szCs w:val="22"/>
                <w:lang w:val="ro-RO"/>
              </w:rPr>
              <w:t xml:space="preserve"> forţei de muncă</w:t>
            </w:r>
            <w:r w:rsidRPr="00D50450">
              <w:rPr>
                <w:rFonts w:ascii="Calibri Light" w:eastAsiaTheme="minorHAnsi" w:hAnsi="Calibri Light" w:cs="Calibri Light"/>
                <w:color w:val="000000" w:themeColor="text1"/>
                <w:sz w:val="22"/>
                <w:szCs w:val="22"/>
                <w:lang w:val="ro-RO"/>
              </w:rPr>
              <w:t xml:space="preserve"> pe teritoriul unui alt stat membru ca o societate de muncă temporară sau o agenție de angajare a personalului, cu condiția ca pe toată durata detașării să existe un raport de muncă între societatea </w:t>
            </w:r>
            <w:r>
              <w:rPr>
                <w:rFonts w:ascii="Calibri Light" w:eastAsiaTheme="minorHAnsi" w:hAnsi="Calibri Light" w:cs="Calibri Light"/>
                <w:color w:val="000000" w:themeColor="text1"/>
                <w:sz w:val="22"/>
                <w:szCs w:val="22"/>
                <w:lang w:val="ro-RO"/>
              </w:rPr>
              <w:t>care face angajarea</w:t>
            </w:r>
            <w:r w:rsidRPr="00D50450">
              <w:rPr>
                <w:rFonts w:ascii="Calibri Light" w:eastAsiaTheme="minorHAnsi" w:hAnsi="Calibri Light" w:cs="Calibri Light"/>
                <w:color w:val="000000" w:themeColor="text1"/>
                <w:sz w:val="22"/>
                <w:szCs w:val="22"/>
                <w:lang w:val="ro-RO"/>
              </w:rPr>
              <w:t xml:space="preserve"> temporară sau agenția de angajare și </w:t>
            </w:r>
            <w:r>
              <w:rPr>
                <w:rFonts w:ascii="Calibri Light" w:eastAsiaTheme="minorHAnsi" w:hAnsi="Calibri Light" w:cs="Calibri Light"/>
                <w:color w:val="000000" w:themeColor="text1"/>
                <w:sz w:val="22"/>
                <w:szCs w:val="22"/>
                <w:lang w:val="ro-RO"/>
              </w:rPr>
              <w:t>persoana detaşată</w:t>
            </w:r>
            <w:r w:rsidRPr="00D50450">
              <w:rPr>
                <w:rFonts w:ascii="Calibri Light" w:eastAsiaTheme="minorHAnsi" w:hAnsi="Calibri Light" w:cs="Calibri Light"/>
                <w:color w:val="000000" w:themeColor="text1"/>
                <w:sz w:val="22"/>
                <w:szCs w:val="22"/>
                <w:lang w:val="ro-RO"/>
              </w:rPr>
              <w:t>.</w:t>
            </w:r>
          </w:p>
          <w:p w:rsidR="004449C1" w:rsidRPr="00D50450" w:rsidRDefault="004449C1" w:rsidP="004449C1">
            <w:pPr>
              <w:pStyle w:val="HTMLPreformatted"/>
              <w:shd w:val="clear" w:color="auto" w:fill="FFFFFF"/>
              <w:jc w:val="both"/>
              <w:rPr>
                <w:rFonts w:ascii="Calibri Light" w:eastAsiaTheme="minorHAnsi" w:hAnsi="Calibri Light" w:cs="Calibri Light"/>
                <w:color w:val="000000" w:themeColor="text1"/>
                <w:sz w:val="22"/>
                <w:szCs w:val="22"/>
                <w:lang w:val="ro-RO"/>
              </w:rPr>
            </w:pPr>
          </w:p>
          <w:p w:rsidR="004449C1" w:rsidRDefault="004449C1" w:rsidP="004449C1">
            <w:pPr>
              <w:pStyle w:val="HTMLPreformatted"/>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        </w:t>
            </w:r>
            <w:r>
              <w:rPr>
                <w:rFonts w:ascii="Calibri Light" w:eastAsiaTheme="minorHAnsi" w:hAnsi="Calibri Light" w:cs="Calibri Light"/>
                <w:color w:val="000000" w:themeColor="text1"/>
                <w:sz w:val="22"/>
                <w:szCs w:val="22"/>
                <w:lang w:val="ro-RO"/>
              </w:rPr>
              <w:t>Analizând dispozițiile</w:t>
            </w:r>
            <w:r w:rsidRPr="00D50450">
              <w:rPr>
                <w:rFonts w:ascii="Calibri Light" w:eastAsiaTheme="minorHAnsi" w:hAnsi="Calibri Light" w:cs="Calibri Light"/>
                <w:color w:val="000000" w:themeColor="text1"/>
                <w:sz w:val="22"/>
                <w:szCs w:val="22"/>
                <w:lang w:val="ro-RO"/>
              </w:rPr>
              <w:t xml:space="preserve"> de mai sus, se poate sublinia că elementele comune pentru toate posibilele cazuri de detașare sunt:</w:t>
            </w:r>
          </w:p>
          <w:p w:rsidR="004449C1" w:rsidRPr="00D50450" w:rsidRDefault="004449C1" w:rsidP="004449C1">
            <w:pPr>
              <w:pStyle w:val="HTMLPreformatted"/>
              <w:shd w:val="clear" w:color="auto" w:fill="FFFFFF"/>
              <w:jc w:val="both"/>
              <w:rPr>
                <w:rFonts w:ascii="Calibri Light" w:eastAsiaTheme="minorHAnsi" w:hAnsi="Calibri Light" w:cs="Calibri Light"/>
                <w:color w:val="000000" w:themeColor="text1"/>
                <w:sz w:val="22"/>
                <w:szCs w:val="22"/>
                <w:lang w:val="ro-RO"/>
              </w:rPr>
            </w:pPr>
          </w:p>
          <w:p w:rsidR="004449C1" w:rsidRPr="00D50450" w:rsidRDefault="004449C1" w:rsidP="004449C1">
            <w:pPr>
              <w:pStyle w:val="HTMLPreformatted"/>
              <w:numPr>
                <w:ilvl w:val="0"/>
                <w:numId w:val="22"/>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caracterul temporar al </w:t>
            </w:r>
            <w:r>
              <w:rPr>
                <w:rFonts w:ascii="Calibri Light" w:eastAsiaTheme="minorHAnsi" w:hAnsi="Calibri Light" w:cs="Calibri Light"/>
                <w:color w:val="000000" w:themeColor="text1"/>
                <w:sz w:val="22"/>
                <w:szCs w:val="22"/>
                <w:lang w:val="ro-RO"/>
              </w:rPr>
              <w:t>efectuării</w:t>
            </w:r>
            <w:r w:rsidRPr="00D50450">
              <w:rPr>
                <w:rFonts w:ascii="Calibri Light" w:eastAsiaTheme="minorHAnsi" w:hAnsi="Calibri Light" w:cs="Calibri Light"/>
                <w:color w:val="000000" w:themeColor="text1"/>
                <w:sz w:val="22"/>
                <w:szCs w:val="22"/>
                <w:lang w:val="ro-RO"/>
              </w:rPr>
              <w:t xml:space="preserve"> muncii (detașare) și</w:t>
            </w:r>
          </w:p>
          <w:p w:rsidR="004449C1" w:rsidRPr="00D50450" w:rsidRDefault="004449C1" w:rsidP="004449C1">
            <w:pPr>
              <w:pStyle w:val="HTMLPreformatted"/>
              <w:numPr>
                <w:ilvl w:val="0"/>
                <w:numId w:val="22"/>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relația de muncă între compania de detașare și </w:t>
            </w:r>
            <w:r>
              <w:rPr>
                <w:rFonts w:ascii="Calibri Light" w:eastAsiaTheme="minorHAnsi" w:hAnsi="Calibri Light" w:cs="Calibri Light"/>
                <w:color w:val="000000" w:themeColor="text1"/>
                <w:sz w:val="22"/>
                <w:szCs w:val="22"/>
                <w:lang w:val="ro-RO"/>
              </w:rPr>
              <w:t>persoana detaşată</w:t>
            </w:r>
            <w:r w:rsidRPr="00D50450">
              <w:rPr>
                <w:rFonts w:ascii="Calibri Light" w:eastAsiaTheme="minorHAnsi" w:hAnsi="Calibri Light" w:cs="Calibri Light"/>
                <w:color w:val="000000" w:themeColor="text1"/>
                <w:sz w:val="22"/>
                <w:szCs w:val="22"/>
                <w:lang w:val="ro-RO"/>
              </w:rPr>
              <w:t xml:space="preserve"> pe întreaga perioadă a detașării.</w:t>
            </w:r>
          </w:p>
          <w:p w:rsidR="004449C1" w:rsidRPr="00D50450" w:rsidRDefault="004449C1" w:rsidP="004449C1">
            <w:pPr>
              <w:pStyle w:val="HTMLPreformatted"/>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lastRenderedPageBreak/>
              <w:t xml:space="preserve">          În literatura de specialitate, unii experți numesc acest grup "muncitorii </w:t>
            </w:r>
            <w:r>
              <w:rPr>
                <w:rFonts w:ascii="Calibri Light" w:eastAsiaTheme="minorHAnsi" w:hAnsi="Calibri Light" w:cs="Calibri Light"/>
                <w:color w:val="000000" w:themeColor="text1"/>
                <w:sz w:val="22"/>
                <w:szCs w:val="22"/>
                <w:lang w:val="ro-RO"/>
              </w:rPr>
              <w:t>de</w:t>
            </w:r>
            <w:r w:rsidRPr="00D50450">
              <w:rPr>
                <w:rFonts w:ascii="Calibri Light" w:eastAsiaTheme="minorHAnsi" w:hAnsi="Calibri Light" w:cs="Calibri Light"/>
                <w:color w:val="000000" w:themeColor="text1"/>
                <w:sz w:val="22"/>
                <w:szCs w:val="22"/>
                <w:lang w:val="ro-RO"/>
              </w:rPr>
              <w:t xml:space="preserve"> o primăvară", subliniind că, având în vedere </w:t>
            </w:r>
            <w:r>
              <w:rPr>
                <w:rFonts w:ascii="Calibri Light" w:eastAsiaTheme="minorHAnsi" w:hAnsi="Calibri Light" w:cs="Calibri Light"/>
                <w:color w:val="000000" w:themeColor="text1"/>
                <w:sz w:val="22"/>
                <w:szCs w:val="22"/>
                <w:lang w:val="ro-RO"/>
              </w:rPr>
              <w:t xml:space="preserve">odată prestate </w:t>
            </w:r>
            <w:r w:rsidRPr="00D50450">
              <w:rPr>
                <w:rFonts w:ascii="Calibri Light" w:eastAsiaTheme="minorHAnsi" w:hAnsi="Calibri Light" w:cs="Calibri Light"/>
                <w:color w:val="000000" w:themeColor="text1"/>
                <w:sz w:val="22"/>
                <w:szCs w:val="22"/>
                <w:lang w:val="ro-RO"/>
              </w:rPr>
              <w:t xml:space="preserve">serviciile, se întorc în țara </w:t>
            </w:r>
            <w:r>
              <w:rPr>
                <w:rFonts w:ascii="Calibri Light" w:eastAsiaTheme="minorHAnsi" w:hAnsi="Calibri Light" w:cs="Calibri Light"/>
                <w:color w:val="000000" w:themeColor="text1"/>
                <w:sz w:val="22"/>
                <w:szCs w:val="22"/>
                <w:lang w:val="ro-RO"/>
              </w:rPr>
              <w:t xml:space="preserve">din care au fost </w:t>
            </w:r>
            <w:r w:rsidRPr="00D50450">
              <w:rPr>
                <w:rFonts w:ascii="Calibri Light" w:eastAsiaTheme="minorHAnsi" w:hAnsi="Calibri Light" w:cs="Calibri Light"/>
                <w:color w:val="000000" w:themeColor="text1"/>
                <w:sz w:val="22"/>
                <w:szCs w:val="22"/>
                <w:lang w:val="ro-RO"/>
              </w:rPr>
              <w:t>detaș</w:t>
            </w:r>
            <w:r>
              <w:rPr>
                <w:rFonts w:ascii="Calibri Light" w:eastAsiaTheme="minorHAnsi" w:hAnsi="Calibri Light" w:cs="Calibri Light"/>
                <w:color w:val="000000" w:themeColor="text1"/>
                <w:sz w:val="22"/>
                <w:szCs w:val="22"/>
                <w:lang w:val="ro-RO"/>
              </w:rPr>
              <w:t>aţi</w:t>
            </w:r>
            <w:r w:rsidRPr="00BB769D">
              <w:rPr>
                <w:rStyle w:val="FootnoteReference"/>
                <w:rFonts w:ascii="Calibri Light" w:hAnsi="Calibri Light" w:cs="Calibri Light"/>
                <w:lang w:val="en-GB"/>
              </w:rPr>
              <w:footnoteReference w:id="2"/>
            </w:r>
            <w:r w:rsidRPr="00BB769D">
              <w:rPr>
                <w:rFonts w:ascii="Calibri Light" w:hAnsi="Calibri Light" w:cs="Calibri Light"/>
                <w:lang w:val="ro-RO"/>
              </w:rPr>
              <w:t>.</w:t>
            </w:r>
            <w:r w:rsidRPr="00D50450">
              <w:rPr>
                <w:rFonts w:ascii="Calibri Light" w:eastAsiaTheme="minorHAnsi" w:hAnsi="Calibri Light" w:cs="Calibri Light"/>
                <w:color w:val="000000" w:themeColor="text1"/>
                <w:sz w:val="22"/>
                <w:szCs w:val="22"/>
                <w:lang w:val="ro-RO"/>
              </w:rPr>
              <w:t xml:space="preserve"> Regulamentele specifică durata maximă de efectuare a lucrărilor de către un </w:t>
            </w:r>
            <w:r>
              <w:rPr>
                <w:rFonts w:ascii="Calibri Light" w:eastAsiaTheme="minorHAnsi" w:hAnsi="Calibri Light" w:cs="Calibri Light"/>
                <w:color w:val="000000" w:themeColor="text1"/>
                <w:sz w:val="22"/>
                <w:szCs w:val="22"/>
                <w:lang w:val="ro-RO"/>
              </w:rPr>
              <w:t>muncitor</w:t>
            </w:r>
            <w:r w:rsidRPr="00D50450">
              <w:rPr>
                <w:rFonts w:ascii="Calibri Light" w:eastAsiaTheme="minorHAnsi" w:hAnsi="Calibri Light" w:cs="Calibri Light"/>
                <w:color w:val="000000" w:themeColor="text1"/>
                <w:sz w:val="22"/>
                <w:szCs w:val="22"/>
                <w:lang w:val="ro-RO"/>
              </w:rPr>
              <w:t xml:space="preserve"> detașat </w:t>
            </w:r>
            <w:r>
              <w:rPr>
                <w:rFonts w:ascii="Calibri Light" w:eastAsiaTheme="minorHAnsi" w:hAnsi="Calibri Light" w:cs="Calibri Light"/>
                <w:color w:val="000000" w:themeColor="text1"/>
                <w:sz w:val="22"/>
                <w:szCs w:val="22"/>
                <w:lang w:val="ro-RO"/>
              </w:rPr>
              <w:t>la</w:t>
            </w:r>
            <w:r w:rsidRPr="00D50450">
              <w:rPr>
                <w:rFonts w:ascii="Calibri Light" w:eastAsiaTheme="minorHAnsi" w:hAnsi="Calibri Light" w:cs="Calibri Light"/>
                <w:color w:val="000000" w:themeColor="text1"/>
                <w:sz w:val="22"/>
                <w:szCs w:val="22"/>
                <w:lang w:val="ro-RO"/>
              </w:rPr>
              <w:t xml:space="preserve"> 24 de luni.</w:t>
            </w:r>
          </w:p>
          <w:p w:rsidR="004449C1" w:rsidRDefault="004449C1" w:rsidP="004449C1">
            <w:p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         Conform directivei, un </w:t>
            </w:r>
            <w:r>
              <w:rPr>
                <w:rFonts w:ascii="Calibri Light" w:hAnsi="Calibri Light" w:cs="Calibri Light"/>
                <w:color w:val="000000" w:themeColor="text1"/>
                <w:lang w:val="ro-RO"/>
              </w:rPr>
              <w:t>muncitor</w:t>
            </w:r>
            <w:r w:rsidRPr="00D50450">
              <w:rPr>
                <w:rFonts w:ascii="Calibri Light" w:hAnsi="Calibri Light" w:cs="Calibri Light"/>
                <w:color w:val="000000" w:themeColor="text1"/>
                <w:lang w:val="ro-RO"/>
              </w:rPr>
              <w:t xml:space="preserve"> detașat înseamnă un </w:t>
            </w:r>
            <w:r>
              <w:rPr>
                <w:rFonts w:ascii="Calibri Light" w:hAnsi="Calibri Light" w:cs="Calibri Light"/>
                <w:color w:val="000000" w:themeColor="text1"/>
                <w:lang w:val="ro-RO"/>
              </w:rPr>
              <w:t>muncitor</w:t>
            </w:r>
            <w:r w:rsidRPr="00D50450">
              <w:rPr>
                <w:rFonts w:ascii="Calibri Light" w:hAnsi="Calibri Light" w:cs="Calibri Light"/>
                <w:color w:val="000000" w:themeColor="text1"/>
                <w:lang w:val="ro-RO"/>
              </w:rPr>
              <w:t xml:space="preserve"> care, pentru o perioadă limitată de timp, își desfășoară activitatea pe teritoriul unui stat membru altul decât statul în care lucrează în mod normal. În sensul directivei, se presupune că definiția obligatorie a unui </w:t>
            </w:r>
            <w:r>
              <w:rPr>
                <w:rFonts w:ascii="Calibri Light" w:hAnsi="Calibri Light" w:cs="Calibri Light"/>
                <w:color w:val="000000" w:themeColor="text1"/>
                <w:lang w:val="ro-RO"/>
              </w:rPr>
              <w:t>muncitor</w:t>
            </w:r>
            <w:r w:rsidRPr="00D50450">
              <w:rPr>
                <w:rFonts w:ascii="Calibri Light" w:hAnsi="Calibri Light" w:cs="Calibri Light"/>
                <w:color w:val="000000" w:themeColor="text1"/>
                <w:lang w:val="ro-RO"/>
              </w:rPr>
              <w:t xml:space="preserve"> este cea aplicată în legislația unui stat membru pe teritoriul căruia este detașat </w:t>
            </w:r>
            <w:r>
              <w:rPr>
                <w:rFonts w:ascii="Calibri Light" w:hAnsi="Calibri Light" w:cs="Calibri Light"/>
                <w:color w:val="000000" w:themeColor="text1"/>
                <w:lang w:val="ro-RO"/>
              </w:rPr>
              <w:t>acesta</w:t>
            </w:r>
            <w:r w:rsidRPr="00D50450">
              <w:rPr>
                <w:rFonts w:ascii="Calibri Light" w:hAnsi="Calibri Light" w:cs="Calibri Light"/>
                <w:color w:val="000000" w:themeColor="text1"/>
                <w:lang w:val="ro-RO"/>
              </w:rPr>
              <w:t xml:space="preserve">. Pentru a înțelege în mod corespunzător această definiție și a diferenția alte cazuri de muncă în străinătate, trebuie subliniat faptul că </w:t>
            </w:r>
            <w:r>
              <w:rPr>
                <w:rFonts w:ascii="Calibri Light" w:hAnsi="Calibri Light" w:cs="Calibri Light"/>
                <w:color w:val="000000" w:themeColor="text1"/>
                <w:lang w:val="ro-RO"/>
              </w:rPr>
              <w:t>o persoană</w:t>
            </w:r>
            <w:r w:rsidRPr="00D50450">
              <w:rPr>
                <w:rFonts w:ascii="Calibri Light" w:hAnsi="Calibri Light" w:cs="Calibri Light"/>
                <w:color w:val="000000" w:themeColor="text1"/>
                <w:lang w:val="ro-RO"/>
              </w:rPr>
              <w:t xml:space="preserve"> detașat</w:t>
            </w:r>
            <w:r>
              <w:rPr>
                <w:rFonts w:ascii="Calibri Light" w:hAnsi="Calibri Light" w:cs="Calibri Light"/>
                <w:color w:val="000000" w:themeColor="text1"/>
                <w:lang w:val="ro-RO"/>
              </w:rPr>
              <w:t>ă</w:t>
            </w:r>
            <w:r w:rsidRPr="00D50450">
              <w:rPr>
                <w:rFonts w:ascii="Calibri Light" w:hAnsi="Calibri Light" w:cs="Calibri Light"/>
                <w:color w:val="000000" w:themeColor="text1"/>
                <w:lang w:val="ro-RO"/>
              </w:rPr>
              <w:t xml:space="preserve"> nu este o persoană care, în timp ce își exercită dreptul la liberă circulație, merge în altă țară pe cont propriu pentru a locu</w:t>
            </w:r>
            <w:r>
              <w:rPr>
                <w:rFonts w:ascii="Calibri Light" w:hAnsi="Calibri Light" w:cs="Calibri Light"/>
                <w:color w:val="000000" w:themeColor="text1"/>
                <w:lang w:val="ro-RO"/>
              </w:rPr>
              <w:t>i</w:t>
            </w:r>
            <w:r w:rsidRPr="00D50450">
              <w:rPr>
                <w:rFonts w:ascii="Calibri Light" w:hAnsi="Calibri Light" w:cs="Calibri Light"/>
                <w:color w:val="000000" w:themeColor="text1"/>
                <w:lang w:val="ro-RO"/>
              </w:rPr>
              <w:t xml:space="preserve"> și munc</w:t>
            </w:r>
            <w:r>
              <w:rPr>
                <w:rFonts w:ascii="Calibri Light" w:hAnsi="Calibri Light" w:cs="Calibri Light"/>
                <w:color w:val="000000" w:themeColor="text1"/>
                <w:lang w:val="ro-RO"/>
              </w:rPr>
              <w:t>i</w:t>
            </w:r>
            <w:r w:rsidRPr="00D50450">
              <w:rPr>
                <w:rFonts w:ascii="Calibri Light" w:hAnsi="Calibri Light" w:cs="Calibri Light"/>
                <w:color w:val="000000" w:themeColor="text1"/>
                <w:lang w:val="ro-RO"/>
              </w:rPr>
              <w:t xml:space="preserve"> acolo (așa-numita migrație economică). </w:t>
            </w:r>
          </w:p>
          <w:p w:rsidR="00BB769D" w:rsidRDefault="00BB769D" w:rsidP="004449C1">
            <w:pPr>
              <w:jc w:val="both"/>
              <w:rPr>
                <w:rFonts w:ascii="Calibri Light" w:hAnsi="Calibri Light" w:cs="Calibri Light"/>
                <w:color w:val="000000" w:themeColor="text1"/>
                <w:lang w:val="ro-RO"/>
              </w:rPr>
            </w:pPr>
          </w:p>
          <w:p w:rsidR="004449C1" w:rsidRPr="00D50450" w:rsidRDefault="004449C1" w:rsidP="004449C1">
            <w:p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Tab</w:t>
            </w:r>
            <w:r>
              <w:rPr>
                <w:rFonts w:ascii="Calibri Light" w:hAnsi="Calibri Light" w:cs="Calibri Light"/>
                <w:color w:val="000000" w:themeColor="text1"/>
                <w:lang w:val="ro-RO"/>
              </w:rPr>
              <w:t>elul</w:t>
            </w:r>
            <w:r w:rsidRPr="00D50450">
              <w:rPr>
                <w:rFonts w:ascii="Calibri Light" w:hAnsi="Calibri Light" w:cs="Calibri Light"/>
                <w:color w:val="000000" w:themeColor="text1"/>
                <w:lang w:val="ro-RO"/>
              </w:rPr>
              <w:t xml:space="preserve"> 1. Comparați</w:t>
            </w:r>
            <w:r>
              <w:rPr>
                <w:rFonts w:ascii="Calibri Light" w:hAnsi="Calibri Light" w:cs="Calibri Light"/>
                <w:color w:val="000000" w:themeColor="text1"/>
                <w:lang w:val="ro-RO"/>
              </w:rPr>
              <w:t>e</w:t>
            </w:r>
            <w:r w:rsidRPr="00D50450">
              <w:rPr>
                <w:rFonts w:ascii="Calibri Light" w:hAnsi="Calibri Light" w:cs="Calibri Light"/>
                <w:color w:val="000000" w:themeColor="text1"/>
                <w:lang w:val="ro-RO"/>
              </w:rPr>
              <w:t xml:space="preserve"> </w:t>
            </w:r>
            <w:r>
              <w:rPr>
                <w:rFonts w:ascii="Calibri Light" w:hAnsi="Calibri Light" w:cs="Calibri Light"/>
                <w:color w:val="000000" w:themeColor="text1"/>
                <w:lang w:val="ro-RO"/>
              </w:rPr>
              <w:t xml:space="preserve">între </w:t>
            </w:r>
            <w:r w:rsidRPr="00D50450">
              <w:rPr>
                <w:rFonts w:ascii="Calibri Light" w:hAnsi="Calibri Light" w:cs="Calibri Light"/>
                <w:color w:val="000000" w:themeColor="text1"/>
                <w:lang w:val="ro-RO"/>
              </w:rPr>
              <w:t>detaș</w:t>
            </w:r>
            <w:r>
              <w:rPr>
                <w:rFonts w:ascii="Calibri Light" w:hAnsi="Calibri Light" w:cs="Calibri Light"/>
                <w:color w:val="000000" w:themeColor="text1"/>
                <w:lang w:val="ro-RO"/>
              </w:rPr>
              <w:t>area</w:t>
            </w:r>
            <w:r w:rsidRPr="00D50450">
              <w:rPr>
                <w:rFonts w:ascii="Calibri Light" w:hAnsi="Calibri Light" w:cs="Calibri Light"/>
                <w:color w:val="000000" w:themeColor="text1"/>
                <w:lang w:val="ro-RO"/>
              </w:rPr>
              <w:t xml:space="preserve"> </w:t>
            </w:r>
            <w:r>
              <w:rPr>
                <w:rFonts w:ascii="Calibri Light" w:hAnsi="Calibri Light" w:cs="Calibri Light"/>
                <w:color w:val="000000" w:themeColor="text1"/>
                <w:lang w:val="ro-RO"/>
              </w:rPr>
              <w:t>forţei de muncă şi</w:t>
            </w:r>
            <w:r w:rsidRPr="00D50450">
              <w:rPr>
                <w:rFonts w:ascii="Calibri Light" w:hAnsi="Calibri Light" w:cs="Calibri Light"/>
                <w:color w:val="000000" w:themeColor="text1"/>
                <w:lang w:val="ro-RO"/>
              </w:rPr>
              <w:t xml:space="preserve"> migrația economică.</w:t>
            </w:r>
          </w:p>
          <w:p w:rsidR="004449C1" w:rsidRPr="00D50450" w:rsidRDefault="004449C1" w:rsidP="004449C1">
            <w:pPr>
              <w:jc w:val="both"/>
              <w:rPr>
                <w:rFonts w:ascii="Calibri Light" w:hAnsi="Calibri Light" w:cs="Calibri Light"/>
                <w:color w:val="000000" w:themeColor="text1"/>
                <w:lang w:val="ro-RO"/>
              </w:rPr>
            </w:pPr>
          </w:p>
          <w:tbl>
            <w:tblPr>
              <w:tblStyle w:val="TableGrid"/>
              <w:tblW w:w="9860" w:type="dxa"/>
              <w:tblLayout w:type="fixed"/>
              <w:tblLook w:val="04A0" w:firstRow="1" w:lastRow="0" w:firstColumn="1" w:lastColumn="0" w:noHBand="0" w:noVBand="1"/>
            </w:tblPr>
            <w:tblGrid>
              <w:gridCol w:w="1968"/>
              <w:gridCol w:w="4401"/>
              <w:gridCol w:w="3491"/>
            </w:tblGrid>
            <w:tr w:rsidR="004449C1" w:rsidRPr="00D50450" w:rsidTr="00BB769D">
              <w:trPr>
                <w:trHeight w:val="52"/>
              </w:trPr>
              <w:tc>
                <w:tcPr>
                  <w:tcW w:w="1968" w:type="dxa"/>
                  <w:shd w:val="clear" w:color="auto" w:fill="DAEEF3" w:themeFill="accent5" w:themeFillTint="33"/>
                </w:tcPr>
                <w:p w:rsidR="004449C1" w:rsidRPr="00D50450" w:rsidRDefault="004449C1" w:rsidP="0050766D">
                  <w:pPr>
                    <w:framePr w:hSpace="180" w:wrap="around" w:vAnchor="text" w:hAnchor="text" w:x="-342" w:y="1"/>
                    <w:suppressOverlap/>
                    <w:jc w:val="both"/>
                    <w:rPr>
                      <w:rFonts w:ascii="Calibri Light" w:hAnsi="Calibri Light" w:cs="Calibri Light"/>
                      <w:color w:val="000000" w:themeColor="text1"/>
                      <w:lang w:val="ro-RO"/>
                    </w:rPr>
                  </w:pPr>
                </w:p>
                <w:p w:rsidR="004449C1" w:rsidRPr="00D50450" w:rsidRDefault="004449C1" w:rsidP="0050766D">
                  <w:pPr>
                    <w:framePr w:hSpace="180" w:wrap="around" w:vAnchor="text" w:hAnchor="text" w:x="-342" w:y="1"/>
                    <w:suppressOverlap/>
                    <w:jc w:val="both"/>
                    <w:rPr>
                      <w:rFonts w:ascii="Calibri Light" w:hAnsi="Calibri Light" w:cs="Calibri Light"/>
                      <w:color w:val="000000" w:themeColor="text1"/>
                      <w:lang w:val="ro-RO"/>
                    </w:rPr>
                  </w:pPr>
                </w:p>
              </w:tc>
              <w:tc>
                <w:tcPr>
                  <w:tcW w:w="4401" w:type="dxa"/>
                  <w:shd w:val="clear" w:color="auto" w:fill="DAEEF3" w:themeFill="accent5" w:themeFillTint="33"/>
                </w:tcPr>
                <w:p w:rsidR="004449C1" w:rsidRPr="00D50450" w:rsidRDefault="004449C1" w:rsidP="0050766D">
                  <w:pPr>
                    <w:framePr w:hSpace="180" w:wrap="around" w:vAnchor="text" w:hAnchor="text" w:x="-342" w:y="1"/>
                    <w:suppressOverlap/>
                    <w:jc w:val="center"/>
                    <w:rPr>
                      <w:rFonts w:ascii="Calibri Light" w:hAnsi="Calibri Light" w:cs="Calibri Light"/>
                      <w:b/>
                      <w:color w:val="000000" w:themeColor="text1"/>
                      <w:lang w:val="ro-RO"/>
                    </w:rPr>
                  </w:pPr>
                  <w:r>
                    <w:rPr>
                      <w:rFonts w:ascii="Calibri Light" w:hAnsi="Calibri Light" w:cs="Calibri Light"/>
                      <w:b/>
                      <w:bCs/>
                      <w:color w:val="000000" w:themeColor="text1"/>
                      <w:lang w:val="ro-RO"/>
                    </w:rPr>
                    <w:t>Detaşarea forţei de muncă</w:t>
                  </w:r>
                </w:p>
              </w:tc>
              <w:tc>
                <w:tcPr>
                  <w:tcW w:w="3491" w:type="dxa"/>
                  <w:shd w:val="clear" w:color="auto" w:fill="DAEEF3" w:themeFill="accent5" w:themeFillTint="33"/>
                </w:tcPr>
                <w:p w:rsidR="004449C1" w:rsidRPr="00D50450" w:rsidRDefault="004449C1" w:rsidP="0050766D">
                  <w:pPr>
                    <w:framePr w:hSpace="180" w:wrap="around" w:vAnchor="text" w:hAnchor="text" w:x="-342" w:y="1"/>
                    <w:suppressOverlap/>
                    <w:jc w:val="center"/>
                    <w:rPr>
                      <w:rFonts w:ascii="Calibri Light" w:hAnsi="Calibri Light" w:cs="Calibri Light"/>
                      <w:b/>
                      <w:color w:val="000000" w:themeColor="text1"/>
                      <w:lang w:val="ro-RO"/>
                    </w:rPr>
                  </w:pPr>
                  <w:r>
                    <w:rPr>
                      <w:rFonts w:ascii="Calibri Light" w:hAnsi="Calibri Light" w:cs="Calibri Light"/>
                      <w:b/>
                      <w:bCs/>
                      <w:color w:val="000000" w:themeColor="text1"/>
                      <w:lang w:val="ro-RO"/>
                    </w:rPr>
                    <w:t>Migraţia economică</w:t>
                  </w:r>
                </w:p>
              </w:tc>
            </w:tr>
            <w:tr w:rsidR="004449C1" w:rsidRPr="00D50450" w:rsidTr="00BB769D">
              <w:trPr>
                <w:trHeight w:val="1238"/>
              </w:trPr>
              <w:tc>
                <w:tcPr>
                  <w:tcW w:w="1968" w:type="dxa"/>
                </w:tcPr>
                <w:p w:rsidR="004449C1" w:rsidRPr="00D50450" w:rsidRDefault="004449C1" w:rsidP="0050766D">
                  <w:pPr>
                    <w:framePr w:hSpace="180" w:wrap="around" w:vAnchor="text" w:hAnchor="text" w:x="-342" w:y="1"/>
                    <w:suppressOverlap/>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Defini</w:t>
                  </w:r>
                  <w:r>
                    <w:rPr>
                      <w:rFonts w:ascii="Calibri Light" w:hAnsi="Calibri Light" w:cs="Calibri Light"/>
                      <w:color w:val="000000" w:themeColor="text1"/>
                      <w:lang w:val="ro-RO"/>
                    </w:rPr>
                    <w:t>ţie</w:t>
                  </w:r>
                </w:p>
              </w:tc>
              <w:tc>
                <w:tcPr>
                  <w:tcW w:w="4401" w:type="dxa"/>
                </w:tcPr>
                <w:p w:rsidR="004449C1" w:rsidRPr="00D50450" w:rsidRDefault="004449C1" w:rsidP="0050766D">
                  <w:pPr>
                    <w:framePr w:hSpace="180" w:wrap="around" w:vAnchor="text" w:hAnchor="text" w:x="-342" w:y="1"/>
                    <w:suppressOverlap/>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Oferirea temporară de servicii într-o altă țară decât cea în care este situat angajatorul</w:t>
                  </w:r>
                </w:p>
              </w:tc>
              <w:tc>
                <w:tcPr>
                  <w:tcW w:w="3491" w:type="dxa"/>
                </w:tcPr>
                <w:p w:rsidR="004449C1" w:rsidRPr="00D50450" w:rsidRDefault="004449C1" w:rsidP="0050766D">
                  <w:pPr>
                    <w:pStyle w:val="HTMLPreformatted"/>
                    <w:framePr w:hSpace="180" w:wrap="around" w:vAnchor="text" w:hAnchor="text" w:x="-342" w:y="1"/>
                    <w:shd w:val="clear" w:color="auto" w:fill="FFFFFF"/>
                    <w:suppressOverlap/>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Modificarea locului (țării)</w:t>
                  </w:r>
                </w:p>
                <w:p w:rsidR="004449C1" w:rsidRPr="00D50450" w:rsidRDefault="004449C1" w:rsidP="0050766D">
                  <w:pPr>
                    <w:pStyle w:val="HTMLPreformatted"/>
                    <w:framePr w:hSpace="180" w:wrap="around" w:vAnchor="text" w:hAnchor="text" w:x="-342" w:y="1"/>
                    <w:shd w:val="clear" w:color="auto" w:fill="FFFFFF"/>
                    <w:suppressOverlap/>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de ședere și de încadrare în muncă, de obicei nu pentru o anumită perioadă de timp</w:t>
                  </w:r>
                </w:p>
                <w:p w:rsidR="004449C1" w:rsidRPr="00D50450" w:rsidRDefault="004449C1" w:rsidP="0050766D">
                  <w:pPr>
                    <w:framePr w:hSpace="180" w:wrap="around" w:vAnchor="text" w:hAnchor="text" w:x="-342" w:y="1"/>
                    <w:suppressOverlap/>
                    <w:jc w:val="both"/>
                    <w:rPr>
                      <w:rFonts w:ascii="Calibri Light" w:hAnsi="Calibri Light" w:cs="Calibri Light"/>
                      <w:color w:val="000000" w:themeColor="text1"/>
                      <w:lang w:val="ro-RO"/>
                    </w:rPr>
                  </w:pPr>
                </w:p>
              </w:tc>
            </w:tr>
            <w:tr w:rsidR="004449C1" w:rsidRPr="00D50450" w:rsidTr="00BB769D">
              <w:trPr>
                <w:trHeight w:val="981"/>
              </w:trPr>
              <w:tc>
                <w:tcPr>
                  <w:tcW w:w="1968" w:type="dxa"/>
                </w:tcPr>
                <w:p w:rsidR="004449C1" w:rsidRPr="00D50450" w:rsidRDefault="004449C1" w:rsidP="0050766D">
                  <w:pPr>
                    <w:framePr w:hSpace="180" w:wrap="around" w:vAnchor="text" w:hAnchor="text" w:x="-342" w:y="1"/>
                    <w:suppressOverlap/>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Remunerarea și condițiile de angajare</w:t>
                  </w:r>
                </w:p>
              </w:tc>
              <w:tc>
                <w:tcPr>
                  <w:tcW w:w="4401" w:type="dxa"/>
                </w:tcPr>
                <w:p w:rsidR="004449C1" w:rsidRPr="00D50450" w:rsidRDefault="004449C1" w:rsidP="0050766D">
                  <w:pPr>
                    <w:pStyle w:val="HTMLPreformatted"/>
                    <w:framePr w:hSpace="180" w:wrap="around" w:vAnchor="text" w:hAnchor="text" w:x="-342" w:y="1"/>
                    <w:shd w:val="clear" w:color="auto" w:fill="FFFFFF"/>
                    <w:suppressOverlap/>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Garantarea standardelor minime de remunerare și condițiile de angajare în țara în care se desfășoară </w:t>
                  </w:r>
                  <w:r>
                    <w:rPr>
                      <w:rFonts w:ascii="Calibri Light" w:eastAsiaTheme="minorHAnsi" w:hAnsi="Calibri Light" w:cs="Calibri Light"/>
                      <w:color w:val="000000" w:themeColor="text1"/>
                      <w:sz w:val="22"/>
                      <w:szCs w:val="22"/>
                      <w:lang w:val="ro-RO"/>
                    </w:rPr>
                    <w:t>activitatea</w:t>
                  </w:r>
                </w:p>
                <w:p w:rsidR="004449C1" w:rsidRPr="00D50450" w:rsidRDefault="004449C1" w:rsidP="0050766D">
                  <w:pPr>
                    <w:framePr w:hSpace="180" w:wrap="around" w:vAnchor="text" w:hAnchor="text" w:x="-342" w:y="1"/>
                    <w:suppressOverlap/>
                    <w:jc w:val="both"/>
                    <w:rPr>
                      <w:rFonts w:ascii="Calibri Light" w:hAnsi="Calibri Light" w:cs="Calibri Light"/>
                      <w:color w:val="000000" w:themeColor="text1"/>
                      <w:lang w:val="ro-RO"/>
                    </w:rPr>
                  </w:pPr>
                </w:p>
              </w:tc>
              <w:tc>
                <w:tcPr>
                  <w:tcW w:w="3491" w:type="dxa"/>
                </w:tcPr>
                <w:p w:rsidR="004449C1" w:rsidRPr="00D50450" w:rsidRDefault="004449C1" w:rsidP="0050766D">
                  <w:pPr>
                    <w:framePr w:hSpace="180" w:wrap="around" w:vAnchor="text" w:hAnchor="text" w:x="-342" w:y="1"/>
                    <w:suppressOverlap/>
                    <w:jc w:val="both"/>
                    <w:rPr>
                      <w:rFonts w:ascii="Calibri Light" w:hAnsi="Calibri Light" w:cs="Calibri Light"/>
                      <w:color w:val="000000" w:themeColor="text1"/>
                      <w:lang w:val="ro-RO"/>
                    </w:rPr>
                  </w:pPr>
                  <w:r w:rsidRPr="00AD2BA7">
                    <w:rPr>
                      <w:rFonts w:ascii="Calibri Light" w:hAnsi="Calibri Light" w:cs="Calibri Light"/>
                      <w:color w:val="000000" w:themeColor="text1"/>
                      <w:lang w:val="ro-RO"/>
                    </w:rPr>
                    <w:br/>
                    <w:t>În prezent obligatori</w:t>
                  </w:r>
                  <w:r>
                    <w:rPr>
                      <w:rFonts w:ascii="Calibri Light" w:hAnsi="Calibri Light" w:cs="Calibri Light"/>
                      <w:color w:val="000000" w:themeColor="text1"/>
                      <w:lang w:val="ro-RO"/>
                    </w:rPr>
                    <w:t>e</w:t>
                  </w:r>
                  <w:r w:rsidRPr="00AD2BA7">
                    <w:rPr>
                      <w:rFonts w:ascii="Calibri Light" w:hAnsi="Calibri Light" w:cs="Calibri Light"/>
                      <w:color w:val="000000" w:themeColor="text1"/>
                      <w:lang w:val="ro-RO"/>
                    </w:rPr>
                    <w:t xml:space="preserve"> la locul de muncă</w:t>
                  </w:r>
                </w:p>
              </w:tc>
            </w:tr>
            <w:tr w:rsidR="004449C1" w:rsidRPr="00D50450" w:rsidTr="00BB769D">
              <w:trPr>
                <w:trHeight w:val="743"/>
              </w:trPr>
              <w:tc>
                <w:tcPr>
                  <w:tcW w:w="1968" w:type="dxa"/>
                </w:tcPr>
                <w:p w:rsidR="00363626" w:rsidRDefault="00363626" w:rsidP="0050766D">
                  <w:pPr>
                    <w:pStyle w:val="HTMLPreformatted"/>
                    <w:framePr w:hSpace="180" w:wrap="around" w:vAnchor="text" w:hAnchor="text" w:x="-342" w:y="1"/>
                    <w:shd w:val="clear" w:color="auto" w:fill="FFFFFF"/>
                    <w:suppressOverlap/>
                    <w:rPr>
                      <w:rFonts w:ascii="Calibri Light" w:eastAsiaTheme="minorHAnsi" w:hAnsi="Calibri Light" w:cs="Calibri Light"/>
                      <w:color w:val="000000" w:themeColor="text1"/>
                      <w:sz w:val="22"/>
                      <w:szCs w:val="22"/>
                      <w:lang w:val="ro-RO"/>
                    </w:rPr>
                  </w:pPr>
                </w:p>
                <w:p w:rsidR="004449C1" w:rsidRPr="00D50450" w:rsidRDefault="004449C1" w:rsidP="0050766D">
                  <w:pPr>
                    <w:pStyle w:val="HTMLPreformatted"/>
                    <w:framePr w:hSpace="180" w:wrap="around" w:vAnchor="text" w:hAnchor="text" w:x="-342" w:y="1"/>
                    <w:shd w:val="clear" w:color="auto" w:fill="FFFFFF"/>
                    <w:suppressOverlap/>
                    <w:rPr>
                      <w:rFonts w:ascii="Calibri Light" w:eastAsiaTheme="minorHAnsi" w:hAnsi="Calibri Light" w:cs="Calibri Light"/>
                      <w:color w:val="000000" w:themeColor="text1"/>
                      <w:sz w:val="22"/>
                      <w:szCs w:val="22"/>
                      <w:lang w:val="ro-RO"/>
                    </w:rPr>
                  </w:pPr>
                  <w:r>
                    <w:rPr>
                      <w:rFonts w:ascii="Calibri Light" w:eastAsiaTheme="minorHAnsi" w:hAnsi="Calibri Light" w:cs="Calibri Light"/>
                      <w:color w:val="000000" w:themeColor="text1"/>
                      <w:sz w:val="22"/>
                      <w:szCs w:val="22"/>
                      <w:lang w:val="ro-RO"/>
                    </w:rPr>
                    <w:t>Asigurări</w:t>
                  </w:r>
                  <w:r w:rsidRPr="00D50450">
                    <w:rPr>
                      <w:rFonts w:ascii="Calibri Light" w:eastAsiaTheme="minorHAnsi" w:hAnsi="Calibri Light" w:cs="Calibri Light"/>
                      <w:color w:val="000000" w:themeColor="text1"/>
                      <w:sz w:val="22"/>
                      <w:szCs w:val="22"/>
                      <w:lang w:val="ro-RO"/>
                    </w:rPr>
                    <w:t xml:space="preserve"> Social</w:t>
                  </w:r>
                  <w:r>
                    <w:rPr>
                      <w:rFonts w:ascii="Calibri Light" w:eastAsiaTheme="minorHAnsi" w:hAnsi="Calibri Light" w:cs="Calibri Light"/>
                      <w:color w:val="000000" w:themeColor="text1"/>
                      <w:sz w:val="22"/>
                      <w:szCs w:val="22"/>
                      <w:lang w:val="ro-RO"/>
                    </w:rPr>
                    <w:t>e</w:t>
                  </w:r>
                </w:p>
                <w:p w:rsidR="004449C1" w:rsidRPr="00D50450" w:rsidRDefault="004449C1" w:rsidP="0050766D">
                  <w:pPr>
                    <w:framePr w:hSpace="180" w:wrap="around" w:vAnchor="text" w:hAnchor="text" w:x="-342" w:y="1"/>
                    <w:suppressOverlap/>
                    <w:jc w:val="both"/>
                    <w:rPr>
                      <w:rFonts w:ascii="Calibri Light" w:hAnsi="Calibri Light" w:cs="Calibri Light"/>
                      <w:color w:val="000000" w:themeColor="text1"/>
                      <w:lang w:val="ro-RO"/>
                    </w:rPr>
                  </w:pPr>
                </w:p>
              </w:tc>
              <w:tc>
                <w:tcPr>
                  <w:tcW w:w="4401" w:type="dxa"/>
                </w:tcPr>
                <w:p w:rsidR="004449C1" w:rsidRPr="00D50450" w:rsidRDefault="004449C1" w:rsidP="0050766D">
                  <w:pPr>
                    <w:framePr w:hSpace="180" w:wrap="around" w:vAnchor="text" w:hAnchor="text" w:x="-342" w:y="1"/>
                    <w:suppressOverlap/>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br/>
                    <w:t>În funcție de țara de destinație, dacă perioada de detașare nu depășește 24 de luni</w:t>
                  </w:r>
                </w:p>
              </w:tc>
              <w:tc>
                <w:tcPr>
                  <w:tcW w:w="3491" w:type="dxa"/>
                </w:tcPr>
                <w:p w:rsidR="004449C1" w:rsidRPr="00D50450" w:rsidRDefault="004449C1" w:rsidP="0050766D">
                  <w:pPr>
                    <w:framePr w:hSpace="180" w:wrap="around" w:vAnchor="text" w:hAnchor="text" w:x="-342" w:y="1"/>
                    <w:suppressOverlap/>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br/>
                    <w:t xml:space="preserve">În funcție de țara de </w:t>
                  </w:r>
                  <w:r>
                    <w:rPr>
                      <w:rFonts w:ascii="Calibri Light" w:hAnsi="Calibri Light" w:cs="Calibri Light"/>
                      <w:color w:val="000000" w:themeColor="text1"/>
                      <w:lang w:val="ro-RO"/>
                    </w:rPr>
                    <w:t>desfăşurare a activităţii</w:t>
                  </w:r>
                </w:p>
              </w:tc>
            </w:tr>
            <w:tr w:rsidR="004449C1" w:rsidRPr="00D50450" w:rsidTr="00BB769D">
              <w:trPr>
                <w:trHeight w:val="506"/>
              </w:trPr>
              <w:tc>
                <w:tcPr>
                  <w:tcW w:w="1968" w:type="dxa"/>
                  <w:vAlign w:val="center"/>
                </w:tcPr>
                <w:p w:rsidR="004449C1" w:rsidRPr="00D50450" w:rsidRDefault="004449C1" w:rsidP="0050766D">
                  <w:pPr>
                    <w:framePr w:hSpace="180" w:wrap="around" w:vAnchor="text" w:hAnchor="text" w:x="-342" w:y="1"/>
                    <w:suppressOverlap/>
                    <w:rPr>
                      <w:rFonts w:ascii="Calibri Light" w:hAnsi="Calibri Light" w:cs="Calibri Light"/>
                      <w:color w:val="000000" w:themeColor="text1"/>
                      <w:lang w:val="ro-RO"/>
                    </w:rPr>
                  </w:pPr>
                  <w:r w:rsidRPr="00D50450">
                    <w:rPr>
                      <w:rFonts w:ascii="Calibri Light" w:hAnsi="Calibri Light" w:cs="Calibri Light"/>
                      <w:color w:val="000000" w:themeColor="text1"/>
                      <w:lang w:val="ro-RO"/>
                    </w:rPr>
                    <w:t>Locul de reședință</w:t>
                  </w:r>
                </w:p>
              </w:tc>
              <w:tc>
                <w:tcPr>
                  <w:tcW w:w="4401" w:type="dxa"/>
                </w:tcPr>
                <w:p w:rsidR="004449C1" w:rsidRPr="00D50450" w:rsidRDefault="004449C1" w:rsidP="0050766D">
                  <w:pPr>
                    <w:framePr w:hSpace="180" w:wrap="around" w:vAnchor="text" w:hAnchor="text" w:x="-342" w:y="1"/>
                    <w:suppressOverlap/>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Țara de </w:t>
                  </w:r>
                  <w:r>
                    <w:rPr>
                      <w:rFonts w:ascii="Calibri Light" w:hAnsi="Calibri Light" w:cs="Calibri Light"/>
                      <w:color w:val="000000" w:themeColor="text1"/>
                      <w:lang w:val="ro-RO"/>
                    </w:rPr>
                    <w:t xml:space="preserve"> desfăşurare a activităţii</w:t>
                  </w:r>
                  <w:r w:rsidRPr="00D50450">
                    <w:rPr>
                      <w:rFonts w:ascii="Calibri Light" w:hAnsi="Calibri Light" w:cs="Calibri Light"/>
                      <w:color w:val="000000" w:themeColor="text1"/>
                      <w:lang w:val="ro-RO"/>
                    </w:rPr>
                    <w:t xml:space="preserve"> </w:t>
                  </w:r>
                </w:p>
              </w:tc>
              <w:tc>
                <w:tcPr>
                  <w:tcW w:w="3491" w:type="dxa"/>
                </w:tcPr>
                <w:p w:rsidR="004449C1" w:rsidRPr="00D50450" w:rsidRDefault="004449C1" w:rsidP="0050766D">
                  <w:pPr>
                    <w:pStyle w:val="HTMLPreformatted"/>
                    <w:framePr w:hSpace="180" w:wrap="around" w:vAnchor="text" w:hAnchor="text" w:x="-342" w:y="1"/>
                    <w:shd w:val="clear" w:color="auto" w:fill="FFFFFF"/>
                    <w:suppressOverlap/>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Țara de </w:t>
                  </w:r>
                  <w:r>
                    <w:rPr>
                      <w:rFonts w:ascii="Calibri Light" w:hAnsi="Calibri Light" w:cs="Calibri Light"/>
                      <w:color w:val="000000" w:themeColor="text1"/>
                      <w:lang w:val="ro-RO"/>
                    </w:rPr>
                    <w:t xml:space="preserve"> </w:t>
                  </w:r>
                  <w:r w:rsidRPr="00F34C76">
                    <w:rPr>
                      <w:rFonts w:ascii="Calibri Light" w:eastAsiaTheme="minorHAnsi" w:hAnsi="Calibri Light" w:cs="Calibri Light"/>
                      <w:color w:val="000000" w:themeColor="text1"/>
                      <w:sz w:val="22"/>
                      <w:szCs w:val="22"/>
                      <w:lang w:val="ro-RO"/>
                    </w:rPr>
                    <w:t>desfăşurare a activităţii</w:t>
                  </w:r>
                </w:p>
                <w:p w:rsidR="004449C1" w:rsidRPr="00D50450" w:rsidRDefault="004449C1" w:rsidP="0050766D">
                  <w:pPr>
                    <w:framePr w:hSpace="180" w:wrap="around" w:vAnchor="text" w:hAnchor="text" w:x="-342" w:y="1"/>
                    <w:ind w:right="-729"/>
                    <w:suppressOverlap/>
                    <w:jc w:val="both"/>
                    <w:rPr>
                      <w:rFonts w:ascii="Calibri Light" w:hAnsi="Calibri Light" w:cs="Calibri Light"/>
                      <w:color w:val="000000" w:themeColor="text1"/>
                      <w:lang w:val="ro-RO"/>
                    </w:rPr>
                  </w:pPr>
                </w:p>
              </w:tc>
            </w:tr>
          </w:tbl>
          <w:p w:rsidR="004449C1" w:rsidRPr="00D50450" w:rsidRDefault="004449C1" w:rsidP="004449C1">
            <w:pPr>
              <w:pStyle w:val="NoSpacing"/>
              <w:jc w:val="both"/>
              <w:rPr>
                <w:rFonts w:ascii="Calibri Light" w:hAnsi="Calibri Light" w:cs="Calibri Light"/>
                <w:lang w:val="ro-RO"/>
              </w:rPr>
            </w:pPr>
          </w:p>
          <w:p w:rsidR="004449C1" w:rsidRPr="00D50450" w:rsidRDefault="004449C1" w:rsidP="004449C1">
            <w:pPr>
              <w:pStyle w:val="HTMLPreformatted"/>
              <w:shd w:val="clear" w:color="auto" w:fill="FFFFFF"/>
              <w:jc w:val="both"/>
              <w:rPr>
                <w:rFonts w:ascii="inherit" w:hAnsi="inherit"/>
                <w:color w:val="212121"/>
                <w:sz w:val="22"/>
                <w:szCs w:val="22"/>
                <w:lang w:val="ro-RO"/>
              </w:rPr>
            </w:pPr>
            <w:r>
              <w:rPr>
                <w:rFonts w:ascii="Calibri Light" w:hAnsi="Calibri Light" w:cs="Calibri Light"/>
                <w:sz w:val="22"/>
                <w:szCs w:val="22"/>
                <w:lang w:val="ro-RO"/>
              </w:rPr>
              <w:t>Sursa</w:t>
            </w:r>
            <w:r w:rsidRPr="00D50450">
              <w:rPr>
                <w:rFonts w:ascii="Calibri Light" w:hAnsi="Calibri Light" w:cs="Calibri Light"/>
                <w:sz w:val="22"/>
                <w:szCs w:val="22"/>
                <w:lang w:val="ro-RO"/>
              </w:rPr>
              <w:t>: Delegowanie pracowników w Unii Europejskiej (</w:t>
            </w:r>
            <w:r w:rsidRPr="00F34C76">
              <w:rPr>
                <w:rFonts w:ascii="Calibri Light" w:hAnsi="Calibri Light" w:cs="Calibri Light"/>
                <w:sz w:val="22"/>
                <w:szCs w:val="22"/>
                <w:lang w:val="ro-RO"/>
              </w:rPr>
              <w:t xml:space="preserve">Detașarea </w:t>
            </w:r>
            <w:r>
              <w:rPr>
                <w:rFonts w:ascii="Calibri Light" w:hAnsi="Calibri Light" w:cs="Calibri Light"/>
                <w:sz w:val="22"/>
                <w:szCs w:val="22"/>
                <w:lang w:val="ro-RO"/>
              </w:rPr>
              <w:t>forţei de muncă</w:t>
            </w:r>
            <w:r w:rsidRPr="00F34C76">
              <w:rPr>
                <w:rFonts w:ascii="Calibri Light" w:hAnsi="Calibri Light" w:cs="Calibri Light"/>
                <w:sz w:val="22"/>
                <w:szCs w:val="22"/>
                <w:lang w:val="ro-RO"/>
              </w:rPr>
              <w:t xml:space="preserve"> în Uniunea Europeană</w:t>
            </w:r>
            <w:r w:rsidRPr="00D50450">
              <w:rPr>
                <w:rFonts w:ascii="Calibri Light" w:hAnsi="Calibri Light" w:cs="Calibri Light"/>
                <w:sz w:val="22"/>
                <w:szCs w:val="22"/>
                <w:lang w:val="ro-RO"/>
              </w:rPr>
              <w:t xml:space="preserve">), Kamil Matuszczyk, </w:t>
            </w:r>
            <w:r>
              <w:rPr>
                <w:rFonts w:ascii="Calibri Light" w:hAnsi="Calibri Light" w:cs="Calibri Light"/>
                <w:sz w:val="22"/>
                <w:szCs w:val="22"/>
                <w:lang w:val="ro-RO"/>
              </w:rPr>
              <w:t>raportul de informare</w:t>
            </w:r>
            <w:r w:rsidRPr="00D50450">
              <w:rPr>
                <w:rFonts w:ascii="Calibri Light" w:hAnsi="Calibri Light" w:cs="Calibri Light"/>
                <w:sz w:val="22"/>
                <w:szCs w:val="22"/>
                <w:lang w:val="ro-RO"/>
              </w:rPr>
              <w:t xml:space="preserve"> </w:t>
            </w:r>
            <w:r>
              <w:rPr>
                <w:rFonts w:ascii="Calibri Light" w:hAnsi="Calibri Light" w:cs="Calibri Light"/>
                <w:sz w:val="22"/>
                <w:szCs w:val="22"/>
                <w:lang w:val="ro-RO"/>
              </w:rPr>
              <w:t>nr.</w:t>
            </w:r>
            <w:r w:rsidRPr="00D50450">
              <w:rPr>
                <w:rFonts w:ascii="Calibri Light" w:hAnsi="Calibri Light" w:cs="Calibri Light"/>
                <w:sz w:val="22"/>
                <w:szCs w:val="22"/>
                <w:lang w:val="ro-RO"/>
              </w:rPr>
              <w:t xml:space="preserve"> 8 </w:t>
            </w:r>
            <w:r>
              <w:rPr>
                <w:rFonts w:ascii="Calibri Light" w:hAnsi="Calibri Light" w:cs="Calibri Light"/>
                <w:sz w:val="22"/>
                <w:szCs w:val="22"/>
                <w:lang w:val="ro-RO"/>
              </w:rPr>
              <w:t>din 5 iulie</w:t>
            </w:r>
            <w:r w:rsidRPr="00D50450">
              <w:rPr>
                <w:rFonts w:ascii="Calibri Light" w:hAnsi="Calibri Light" w:cs="Calibri Light"/>
                <w:sz w:val="22"/>
                <w:szCs w:val="22"/>
                <w:lang w:val="ro-RO"/>
              </w:rPr>
              <w:t xml:space="preserve"> 2018.</w:t>
            </w:r>
          </w:p>
          <w:p w:rsidR="004449C1" w:rsidRPr="00D50450" w:rsidRDefault="004449C1" w:rsidP="004449C1">
            <w:pPr>
              <w:rPr>
                <w:rFonts w:ascii="Calibri Light" w:hAnsi="Calibri Light" w:cs="Calibri Light"/>
                <w:lang w:val="ro-RO"/>
              </w:rPr>
            </w:pPr>
          </w:p>
          <w:p w:rsidR="004449C1" w:rsidRPr="00D50450" w:rsidRDefault="004449C1" w:rsidP="00592698">
            <w:pPr>
              <w:pStyle w:val="HTMLPreformatted"/>
              <w:shd w:val="clear" w:color="auto" w:fill="FFFFFF"/>
              <w:ind w:firstLine="540"/>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În acest moment, un lucru demn de menționat este o călătorie de afaceri a unui </w:t>
            </w:r>
            <w:r>
              <w:rPr>
                <w:rFonts w:ascii="Calibri Light" w:eastAsiaTheme="minorHAnsi" w:hAnsi="Calibri Light" w:cs="Calibri Light"/>
                <w:color w:val="000000" w:themeColor="text1"/>
                <w:sz w:val="22"/>
                <w:szCs w:val="22"/>
                <w:lang w:val="ro-RO"/>
              </w:rPr>
              <w:t>angajat</w:t>
            </w:r>
            <w:r w:rsidRPr="00D50450">
              <w:rPr>
                <w:rFonts w:ascii="Calibri Light" w:eastAsiaTheme="minorHAnsi" w:hAnsi="Calibri Light" w:cs="Calibri Light"/>
                <w:color w:val="000000" w:themeColor="text1"/>
                <w:sz w:val="22"/>
                <w:szCs w:val="22"/>
                <w:lang w:val="ro-RO"/>
              </w:rPr>
              <w:t>, deoarece nomenclatura similară face ca termenii să fie utilizați în mod interschimbabil. (Nota traducătorului: în poloneză atât "călătoria de afaceri", cât și "</w:t>
            </w:r>
            <w:r>
              <w:rPr>
                <w:rFonts w:ascii="Calibri Light" w:eastAsiaTheme="minorHAnsi" w:hAnsi="Calibri Light" w:cs="Calibri Light"/>
                <w:color w:val="000000" w:themeColor="text1"/>
                <w:sz w:val="22"/>
                <w:szCs w:val="22"/>
                <w:lang w:val="ro-RO"/>
              </w:rPr>
              <w:t>detaşarea</w:t>
            </w:r>
            <w:r w:rsidRPr="00D50450">
              <w:rPr>
                <w:rFonts w:ascii="Calibri Light" w:eastAsiaTheme="minorHAnsi" w:hAnsi="Calibri Light" w:cs="Calibri Light"/>
                <w:color w:val="000000" w:themeColor="text1"/>
                <w:sz w:val="22"/>
                <w:szCs w:val="22"/>
                <w:lang w:val="ro-RO"/>
              </w:rPr>
              <w:t xml:space="preserve">" sunt de asemenea denumite "delegații"). Cu toate acestea, acestea sunt două lucruri diferite, iar călătoriile de afaceri nu au prea multe în comun cu </w:t>
            </w:r>
            <w:r>
              <w:rPr>
                <w:rFonts w:ascii="Calibri Light" w:eastAsiaTheme="minorHAnsi" w:hAnsi="Calibri Light" w:cs="Calibri Light"/>
                <w:color w:val="000000" w:themeColor="text1"/>
                <w:sz w:val="22"/>
                <w:szCs w:val="22"/>
                <w:lang w:val="ro-RO"/>
              </w:rPr>
              <w:t>detaşarea</w:t>
            </w:r>
            <w:r w:rsidRPr="00D50450">
              <w:rPr>
                <w:rFonts w:ascii="Calibri Light" w:eastAsiaTheme="minorHAnsi" w:hAnsi="Calibri Light" w:cs="Calibri Light"/>
                <w:color w:val="000000" w:themeColor="text1"/>
                <w:sz w:val="22"/>
                <w:szCs w:val="22"/>
                <w:lang w:val="ro-RO"/>
              </w:rPr>
              <w:t xml:space="preserve"> </w:t>
            </w:r>
            <w:r>
              <w:rPr>
                <w:rFonts w:ascii="Calibri Light" w:eastAsiaTheme="minorHAnsi" w:hAnsi="Calibri Light" w:cs="Calibri Light"/>
                <w:color w:val="000000" w:themeColor="text1"/>
                <w:sz w:val="22"/>
                <w:szCs w:val="22"/>
                <w:lang w:val="ro-RO"/>
              </w:rPr>
              <w:t>forţei</w:t>
            </w:r>
            <w:r w:rsidRPr="00D50450">
              <w:rPr>
                <w:rFonts w:ascii="Calibri Light" w:eastAsiaTheme="minorHAnsi" w:hAnsi="Calibri Light" w:cs="Calibri Light"/>
                <w:color w:val="000000" w:themeColor="text1"/>
                <w:sz w:val="22"/>
                <w:szCs w:val="22"/>
                <w:lang w:val="ro-RO"/>
              </w:rPr>
              <w:t xml:space="preserve"> de muncă. În general, o călătorie de afaceri înseamnă îndeplinirea responsabilităților (muncii) </w:t>
            </w:r>
            <w:r>
              <w:rPr>
                <w:rFonts w:ascii="Calibri Light" w:eastAsiaTheme="minorHAnsi" w:hAnsi="Calibri Light" w:cs="Calibri Light"/>
                <w:color w:val="000000" w:themeColor="text1"/>
                <w:sz w:val="22"/>
                <w:szCs w:val="22"/>
                <w:lang w:val="ro-RO"/>
              </w:rPr>
              <w:t>muncitorilor</w:t>
            </w:r>
            <w:r w:rsidRPr="00D50450">
              <w:rPr>
                <w:rFonts w:ascii="Calibri Light" w:eastAsiaTheme="minorHAnsi" w:hAnsi="Calibri Light" w:cs="Calibri Light"/>
                <w:color w:val="000000" w:themeColor="text1"/>
                <w:sz w:val="22"/>
                <w:szCs w:val="22"/>
                <w:lang w:val="ro-RO"/>
              </w:rPr>
              <w:t xml:space="preserve"> în afara locului de muncă permanent, conform cerințelor angajatorului; este o activitate </w:t>
            </w:r>
            <w:r>
              <w:rPr>
                <w:rFonts w:ascii="Calibri Light" w:eastAsiaTheme="minorHAnsi" w:hAnsi="Calibri Light" w:cs="Calibri Light"/>
                <w:color w:val="000000" w:themeColor="text1"/>
                <w:sz w:val="22"/>
                <w:szCs w:val="22"/>
                <w:lang w:val="ro-RO"/>
              </w:rPr>
              <w:t>ocazională</w:t>
            </w:r>
            <w:r w:rsidRPr="00D50450">
              <w:rPr>
                <w:rFonts w:ascii="Calibri Light" w:eastAsiaTheme="minorHAnsi" w:hAnsi="Calibri Light" w:cs="Calibri Light"/>
                <w:color w:val="000000" w:themeColor="text1"/>
                <w:sz w:val="22"/>
                <w:szCs w:val="22"/>
                <w:lang w:val="ro-RO"/>
              </w:rPr>
              <w:t xml:space="preserve">, pe termen scurt și temporară. În acest caz, </w:t>
            </w:r>
            <w:r>
              <w:rPr>
                <w:rFonts w:ascii="Calibri Light" w:eastAsiaTheme="minorHAnsi" w:hAnsi="Calibri Light" w:cs="Calibri Light"/>
                <w:color w:val="000000" w:themeColor="text1"/>
                <w:sz w:val="22"/>
                <w:szCs w:val="22"/>
                <w:lang w:val="ro-RO"/>
              </w:rPr>
              <w:t>angajatului</w:t>
            </w:r>
            <w:r w:rsidRPr="00D50450">
              <w:rPr>
                <w:rFonts w:ascii="Calibri Light" w:eastAsiaTheme="minorHAnsi" w:hAnsi="Calibri Light" w:cs="Calibri Light"/>
                <w:color w:val="000000" w:themeColor="text1"/>
                <w:sz w:val="22"/>
                <w:szCs w:val="22"/>
                <w:lang w:val="ro-RO"/>
              </w:rPr>
              <w:t xml:space="preserve"> i se acordă </w:t>
            </w:r>
            <w:r>
              <w:rPr>
                <w:rFonts w:ascii="Calibri Light" w:eastAsiaTheme="minorHAnsi" w:hAnsi="Calibri Light" w:cs="Calibri Light"/>
                <w:color w:val="000000" w:themeColor="text1"/>
                <w:sz w:val="22"/>
                <w:szCs w:val="22"/>
                <w:lang w:val="ro-RO"/>
              </w:rPr>
              <w:t>o diurnă</w:t>
            </w:r>
            <w:r w:rsidRPr="00D50450">
              <w:rPr>
                <w:rFonts w:ascii="Calibri Light" w:eastAsiaTheme="minorHAnsi" w:hAnsi="Calibri Light" w:cs="Calibri Light"/>
                <w:color w:val="000000" w:themeColor="text1"/>
                <w:sz w:val="22"/>
                <w:szCs w:val="22"/>
                <w:lang w:val="ro-RO"/>
              </w:rPr>
              <w:t xml:space="preserve">, precum și </w:t>
            </w:r>
            <w:r>
              <w:rPr>
                <w:rFonts w:ascii="Calibri Light" w:eastAsiaTheme="minorHAnsi" w:hAnsi="Calibri Light" w:cs="Calibri Light"/>
                <w:color w:val="000000" w:themeColor="text1"/>
                <w:sz w:val="22"/>
                <w:szCs w:val="22"/>
                <w:lang w:val="ro-RO"/>
              </w:rPr>
              <w:t>rambursarea</w:t>
            </w:r>
            <w:r w:rsidRPr="00D50450">
              <w:rPr>
                <w:rFonts w:ascii="Calibri Light" w:eastAsiaTheme="minorHAnsi" w:hAnsi="Calibri Light" w:cs="Calibri Light"/>
                <w:color w:val="000000" w:themeColor="text1"/>
                <w:sz w:val="22"/>
                <w:szCs w:val="22"/>
                <w:lang w:val="ro-RO"/>
              </w:rPr>
              <w:t xml:space="preserve"> cheltuielilor de călătorie și de cazare.</w:t>
            </w:r>
          </w:p>
          <w:p w:rsidR="004449C1" w:rsidRPr="00D50450" w:rsidRDefault="004449C1" w:rsidP="00592698">
            <w:pPr>
              <w:pStyle w:val="HTMLPreformatted"/>
              <w:shd w:val="clear" w:color="auto" w:fill="FFFFFF"/>
              <w:ind w:firstLine="540"/>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Cu toate acestea, </w:t>
            </w:r>
            <w:r>
              <w:rPr>
                <w:rFonts w:ascii="Calibri Light" w:eastAsiaTheme="minorHAnsi" w:hAnsi="Calibri Light" w:cs="Calibri Light"/>
                <w:color w:val="000000" w:themeColor="text1"/>
                <w:sz w:val="22"/>
                <w:szCs w:val="22"/>
                <w:lang w:val="ro-RO"/>
              </w:rPr>
              <w:t>de-a lungul</w:t>
            </w:r>
            <w:r w:rsidRPr="00D50450">
              <w:rPr>
                <w:rFonts w:ascii="Calibri Light" w:eastAsiaTheme="minorHAnsi" w:hAnsi="Calibri Light" w:cs="Calibri Light"/>
                <w:color w:val="000000" w:themeColor="text1"/>
                <w:sz w:val="22"/>
                <w:szCs w:val="22"/>
                <w:lang w:val="ro-RO"/>
              </w:rPr>
              <w:t xml:space="preserve"> ani</w:t>
            </w:r>
            <w:r>
              <w:rPr>
                <w:rFonts w:ascii="Calibri Light" w:eastAsiaTheme="minorHAnsi" w:hAnsi="Calibri Light" w:cs="Calibri Light"/>
                <w:color w:val="000000" w:themeColor="text1"/>
                <w:sz w:val="22"/>
                <w:szCs w:val="22"/>
                <w:lang w:val="ro-RO"/>
              </w:rPr>
              <w:t>lor</w:t>
            </w:r>
            <w:r w:rsidRPr="00D50450">
              <w:rPr>
                <w:rFonts w:ascii="Calibri Light" w:eastAsiaTheme="minorHAnsi" w:hAnsi="Calibri Light" w:cs="Calibri Light"/>
                <w:color w:val="000000" w:themeColor="text1"/>
                <w:sz w:val="22"/>
                <w:szCs w:val="22"/>
                <w:lang w:val="ro-RO"/>
              </w:rPr>
              <w:t xml:space="preserve"> de aplicare a directivei </w:t>
            </w:r>
            <w:r>
              <w:rPr>
                <w:rFonts w:ascii="Calibri Light" w:eastAsiaTheme="minorHAnsi" w:hAnsi="Calibri Light" w:cs="Calibri Light"/>
                <w:color w:val="000000" w:themeColor="text1"/>
                <w:sz w:val="22"/>
                <w:szCs w:val="22"/>
                <w:lang w:val="ro-RO"/>
              </w:rPr>
              <w:t>s-a observat</w:t>
            </w:r>
            <w:r w:rsidRPr="00D50450">
              <w:rPr>
                <w:rFonts w:ascii="Calibri Light" w:eastAsiaTheme="minorHAnsi" w:hAnsi="Calibri Light" w:cs="Calibri Light"/>
                <w:color w:val="000000" w:themeColor="text1"/>
                <w:sz w:val="22"/>
                <w:szCs w:val="22"/>
                <w:lang w:val="ro-RO"/>
              </w:rPr>
              <w:t xml:space="preserve"> necesitatea îmbunătățirii </w:t>
            </w:r>
            <w:r>
              <w:rPr>
                <w:rFonts w:ascii="Calibri Light" w:eastAsiaTheme="minorHAnsi" w:hAnsi="Calibri Light" w:cs="Calibri Light"/>
                <w:color w:val="000000" w:themeColor="text1"/>
                <w:sz w:val="22"/>
                <w:szCs w:val="22"/>
                <w:lang w:val="ro-RO"/>
              </w:rPr>
              <w:t>metodei de punere</w:t>
            </w:r>
            <w:r w:rsidRPr="00D50450">
              <w:rPr>
                <w:rFonts w:ascii="Calibri Light" w:eastAsiaTheme="minorHAnsi" w:hAnsi="Calibri Light" w:cs="Calibri Light"/>
                <w:color w:val="000000" w:themeColor="text1"/>
                <w:sz w:val="22"/>
                <w:szCs w:val="22"/>
                <w:lang w:val="ro-RO"/>
              </w:rPr>
              <w:t xml:space="preserve"> în aplicare și </w:t>
            </w:r>
            <w:r>
              <w:rPr>
                <w:rFonts w:ascii="Calibri Light" w:eastAsiaTheme="minorHAnsi" w:hAnsi="Calibri Light" w:cs="Calibri Light"/>
                <w:color w:val="000000" w:themeColor="text1"/>
                <w:sz w:val="22"/>
                <w:szCs w:val="22"/>
                <w:lang w:val="ro-RO"/>
              </w:rPr>
              <w:t>de respectare a</w:t>
            </w:r>
            <w:r w:rsidRPr="00D50450">
              <w:rPr>
                <w:rFonts w:ascii="Calibri Light" w:eastAsiaTheme="minorHAnsi" w:hAnsi="Calibri Light" w:cs="Calibri Light"/>
                <w:color w:val="000000" w:themeColor="text1"/>
                <w:sz w:val="22"/>
                <w:szCs w:val="22"/>
                <w:lang w:val="ro-RO"/>
              </w:rPr>
              <w:t xml:space="preserve"> normelor privind detașarea </w:t>
            </w:r>
            <w:r>
              <w:rPr>
                <w:rFonts w:ascii="Calibri Light" w:eastAsiaTheme="minorHAnsi" w:hAnsi="Calibri Light" w:cs="Calibri Light"/>
                <w:color w:val="000000" w:themeColor="text1"/>
                <w:sz w:val="22"/>
                <w:szCs w:val="22"/>
                <w:lang w:val="ro-RO"/>
              </w:rPr>
              <w:t>forţei de muncă</w:t>
            </w:r>
            <w:r w:rsidRPr="00D50450">
              <w:rPr>
                <w:rFonts w:ascii="Calibri Light" w:eastAsiaTheme="minorHAnsi" w:hAnsi="Calibri Light" w:cs="Calibri Light"/>
                <w:color w:val="000000" w:themeColor="text1"/>
                <w:sz w:val="22"/>
                <w:szCs w:val="22"/>
                <w:lang w:val="ro-RO"/>
              </w:rPr>
              <w:t xml:space="preserve">. Au existat situații în care organismele competente din statele membre, furnizorii de servicii și </w:t>
            </w:r>
            <w:r>
              <w:rPr>
                <w:rFonts w:ascii="Calibri Light" w:eastAsiaTheme="minorHAnsi" w:hAnsi="Calibri Light" w:cs="Calibri Light"/>
                <w:color w:val="000000" w:themeColor="text1"/>
                <w:sz w:val="22"/>
                <w:szCs w:val="22"/>
                <w:lang w:val="ro-RO"/>
              </w:rPr>
              <w:t>chiar persoanele</w:t>
            </w:r>
            <w:r w:rsidRPr="00D50450">
              <w:rPr>
                <w:rFonts w:ascii="Calibri Light" w:eastAsiaTheme="minorHAnsi" w:hAnsi="Calibri Light" w:cs="Calibri Light"/>
                <w:color w:val="000000" w:themeColor="text1"/>
                <w:sz w:val="22"/>
                <w:szCs w:val="22"/>
                <w:lang w:val="ro-RO"/>
              </w:rPr>
              <w:t xml:space="preserve"> detaș</w:t>
            </w:r>
            <w:r>
              <w:rPr>
                <w:rFonts w:ascii="Calibri Light" w:eastAsiaTheme="minorHAnsi" w:hAnsi="Calibri Light" w:cs="Calibri Light"/>
                <w:color w:val="000000" w:themeColor="text1"/>
                <w:sz w:val="22"/>
                <w:szCs w:val="22"/>
                <w:lang w:val="ro-RO"/>
              </w:rPr>
              <w:t xml:space="preserve">ate </w:t>
            </w:r>
            <w:r w:rsidRPr="00D50450">
              <w:rPr>
                <w:rFonts w:ascii="Calibri Light" w:eastAsiaTheme="minorHAnsi" w:hAnsi="Calibri Light" w:cs="Calibri Light"/>
                <w:color w:val="000000" w:themeColor="text1"/>
                <w:sz w:val="22"/>
                <w:szCs w:val="22"/>
                <w:lang w:val="ro-RO"/>
              </w:rPr>
              <w:t xml:space="preserve">au întâmpinat probleme frecvente, de exemplu, în ceea ce privește </w:t>
            </w:r>
            <w:r>
              <w:rPr>
                <w:rFonts w:ascii="Calibri Light" w:eastAsiaTheme="minorHAnsi" w:hAnsi="Calibri Light" w:cs="Calibri Light"/>
                <w:color w:val="000000" w:themeColor="text1"/>
                <w:sz w:val="22"/>
                <w:szCs w:val="22"/>
                <w:lang w:val="ro-RO"/>
              </w:rPr>
              <w:t>a stabili</w:t>
            </w:r>
            <w:r w:rsidRPr="00D50450">
              <w:rPr>
                <w:rFonts w:ascii="Calibri Light" w:eastAsiaTheme="minorHAnsi" w:hAnsi="Calibri Light" w:cs="Calibri Light"/>
                <w:color w:val="000000" w:themeColor="text1"/>
                <w:sz w:val="22"/>
                <w:szCs w:val="22"/>
                <w:lang w:val="ro-RO"/>
              </w:rPr>
              <w:t xml:space="preserve"> dacă aceștia </w:t>
            </w:r>
            <w:r>
              <w:rPr>
                <w:rFonts w:ascii="Calibri Light" w:eastAsiaTheme="minorHAnsi" w:hAnsi="Calibri Light" w:cs="Calibri Light"/>
                <w:color w:val="000000" w:themeColor="text1"/>
                <w:sz w:val="22"/>
                <w:szCs w:val="22"/>
                <w:lang w:val="ro-RO"/>
              </w:rPr>
              <w:t>implementează procedura de detașare</w:t>
            </w:r>
            <w:r w:rsidRPr="00D50450">
              <w:rPr>
                <w:rFonts w:ascii="Calibri Light" w:eastAsiaTheme="minorHAnsi" w:hAnsi="Calibri Light" w:cs="Calibri Light"/>
                <w:color w:val="000000" w:themeColor="text1"/>
                <w:sz w:val="22"/>
                <w:szCs w:val="22"/>
                <w:lang w:val="ro-RO"/>
              </w:rPr>
              <w:t xml:space="preserve"> astfel cum este definită </w:t>
            </w:r>
            <w:r>
              <w:rPr>
                <w:rFonts w:ascii="Calibri Light" w:eastAsiaTheme="minorHAnsi" w:hAnsi="Calibri Light" w:cs="Calibri Light"/>
                <w:color w:val="000000" w:themeColor="text1"/>
                <w:sz w:val="22"/>
                <w:szCs w:val="22"/>
                <w:lang w:val="ro-RO"/>
              </w:rPr>
              <w:t>prin</w:t>
            </w:r>
            <w:r w:rsidRPr="00D50450">
              <w:rPr>
                <w:rFonts w:ascii="Calibri Light" w:eastAsiaTheme="minorHAnsi" w:hAnsi="Calibri Light" w:cs="Calibri Light"/>
                <w:color w:val="000000" w:themeColor="text1"/>
                <w:sz w:val="22"/>
                <w:szCs w:val="22"/>
                <w:lang w:val="ro-RO"/>
              </w:rPr>
              <w:t xml:space="preserve"> directivă.</w:t>
            </w:r>
          </w:p>
          <w:p w:rsidR="00592698" w:rsidRDefault="004449C1" w:rsidP="00592698">
            <w:pPr>
              <w:pStyle w:val="HTMLPreformatted"/>
              <w:shd w:val="clear" w:color="auto" w:fill="FFFFFF"/>
              <w:ind w:firstLine="540"/>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Au existat cazuri de practică reprobabilă a angajatorilor care au profitat de reglementările neclare și prea generale pentru a le ocoli, de ex. multe companii au început să înregistreze locuri de afaceri fictive (așa-numita "cutie de scrisori") în străinătate, de ex. în Polonia sau în Cipru. Aceștia s-au ocupat numai de </w:t>
            </w:r>
            <w:r w:rsidRPr="00D50450">
              <w:rPr>
                <w:rFonts w:ascii="Calibri Light" w:eastAsiaTheme="minorHAnsi" w:hAnsi="Calibri Light" w:cs="Calibri Light"/>
                <w:color w:val="000000" w:themeColor="text1"/>
                <w:sz w:val="22"/>
                <w:szCs w:val="22"/>
                <w:lang w:val="ro-RO"/>
              </w:rPr>
              <w:lastRenderedPageBreak/>
              <w:t xml:space="preserve">detașarea </w:t>
            </w:r>
            <w:r>
              <w:rPr>
                <w:rFonts w:ascii="Calibri Light" w:eastAsiaTheme="minorHAnsi" w:hAnsi="Calibri Light" w:cs="Calibri Light"/>
                <w:color w:val="000000" w:themeColor="text1"/>
                <w:sz w:val="22"/>
                <w:szCs w:val="22"/>
                <w:lang w:val="ro-RO"/>
              </w:rPr>
              <w:t>forţei de muncă</w:t>
            </w:r>
            <w:r w:rsidRPr="00D50450">
              <w:rPr>
                <w:rFonts w:ascii="Calibri Light" w:eastAsiaTheme="minorHAnsi" w:hAnsi="Calibri Light" w:cs="Calibri Light"/>
                <w:color w:val="000000" w:themeColor="text1"/>
                <w:sz w:val="22"/>
                <w:szCs w:val="22"/>
                <w:lang w:val="ro-RO"/>
              </w:rPr>
              <w:t xml:space="preserve">, profitând de costul mai scăzut </w:t>
            </w:r>
            <w:r>
              <w:rPr>
                <w:rFonts w:ascii="Calibri Light" w:eastAsiaTheme="minorHAnsi" w:hAnsi="Calibri Light" w:cs="Calibri Light"/>
                <w:color w:val="000000" w:themeColor="text1"/>
                <w:sz w:val="22"/>
                <w:szCs w:val="22"/>
                <w:lang w:val="ro-RO"/>
              </w:rPr>
              <w:t>de angajare</w:t>
            </w:r>
            <w:r w:rsidRPr="00D50450">
              <w:rPr>
                <w:rFonts w:ascii="Calibri Light" w:eastAsiaTheme="minorHAnsi" w:hAnsi="Calibri Light" w:cs="Calibri Light"/>
                <w:color w:val="000000" w:themeColor="text1"/>
                <w:sz w:val="22"/>
                <w:szCs w:val="22"/>
                <w:lang w:val="ro-RO"/>
              </w:rPr>
              <w:t xml:space="preserve">. Entitățile respective nu au efectuat operațiunile de afaceri </w:t>
            </w:r>
            <w:r>
              <w:rPr>
                <w:rFonts w:ascii="Calibri Light" w:eastAsiaTheme="minorHAnsi" w:hAnsi="Calibri Light" w:cs="Calibri Light"/>
                <w:color w:val="000000" w:themeColor="text1"/>
                <w:sz w:val="22"/>
                <w:szCs w:val="22"/>
                <w:lang w:val="ro-RO"/>
              </w:rPr>
              <w:t>standard</w:t>
            </w:r>
            <w:r w:rsidRPr="00D50450">
              <w:rPr>
                <w:rFonts w:ascii="Calibri Light" w:eastAsiaTheme="minorHAnsi" w:hAnsi="Calibri Light" w:cs="Calibri Light"/>
                <w:color w:val="000000" w:themeColor="text1"/>
                <w:sz w:val="22"/>
                <w:szCs w:val="22"/>
                <w:lang w:val="ro-RO"/>
              </w:rPr>
              <w:t xml:space="preserve">, </w:t>
            </w:r>
            <w:r>
              <w:rPr>
                <w:rFonts w:ascii="Calibri Light" w:eastAsiaTheme="minorHAnsi" w:hAnsi="Calibri Light" w:cs="Calibri Light"/>
                <w:color w:val="000000" w:themeColor="text1"/>
                <w:sz w:val="22"/>
                <w:szCs w:val="22"/>
                <w:lang w:val="ro-RO"/>
              </w:rPr>
              <w:t>ci erau doar</w:t>
            </w:r>
            <w:r w:rsidRPr="00D50450">
              <w:rPr>
                <w:rFonts w:ascii="Calibri Light" w:eastAsiaTheme="minorHAnsi" w:hAnsi="Calibri Light" w:cs="Calibri Light"/>
                <w:color w:val="000000" w:themeColor="text1"/>
                <w:sz w:val="22"/>
                <w:szCs w:val="22"/>
                <w:lang w:val="ro-RO"/>
              </w:rPr>
              <w:t xml:space="preserve"> </w:t>
            </w:r>
            <w:r>
              <w:rPr>
                <w:rFonts w:ascii="Calibri Light" w:eastAsiaTheme="minorHAnsi" w:hAnsi="Calibri Light" w:cs="Calibri Light"/>
                <w:color w:val="000000" w:themeColor="text1"/>
                <w:sz w:val="22"/>
                <w:szCs w:val="22"/>
                <w:lang w:val="ro-RO"/>
              </w:rPr>
              <w:t>companii</w:t>
            </w:r>
            <w:r w:rsidRPr="00D50450">
              <w:rPr>
                <w:rFonts w:ascii="Calibri Light" w:eastAsiaTheme="minorHAnsi" w:hAnsi="Calibri Light" w:cs="Calibri Light"/>
                <w:color w:val="000000" w:themeColor="text1"/>
                <w:sz w:val="22"/>
                <w:szCs w:val="22"/>
                <w:lang w:val="ro-RO"/>
              </w:rPr>
              <w:t xml:space="preserve"> satelit </w:t>
            </w:r>
            <w:r>
              <w:rPr>
                <w:rFonts w:ascii="Calibri Light" w:eastAsiaTheme="minorHAnsi" w:hAnsi="Calibri Light" w:cs="Calibri Light"/>
                <w:color w:val="000000" w:themeColor="text1"/>
                <w:sz w:val="22"/>
                <w:szCs w:val="22"/>
                <w:lang w:val="ro-RO"/>
              </w:rPr>
              <w:t xml:space="preserve">care </w:t>
            </w:r>
            <w:r w:rsidRPr="00D50450">
              <w:rPr>
                <w:rFonts w:ascii="Calibri Light" w:eastAsiaTheme="minorHAnsi" w:hAnsi="Calibri Light" w:cs="Calibri Light"/>
                <w:color w:val="000000" w:themeColor="text1"/>
                <w:sz w:val="22"/>
                <w:szCs w:val="22"/>
                <w:lang w:val="ro-RO"/>
              </w:rPr>
              <w:t xml:space="preserve">au </w:t>
            </w:r>
            <w:r>
              <w:rPr>
                <w:rFonts w:ascii="Calibri Light" w:eastAsiaTheme="minorHAnsi" w:hAnsi="Calibri Light" w:cs="Calibri Light"/>
                <w:color w:val="000000" w:themeColor="text1"/>
                <w:sz w:val="22"/>
                <w:szCs w:val="22"/>
                <w:lang w:val="ro-RO"/>
              </w:rPr>
              <w:t>detaşat persoane</w:t>
            </w:r>
            <w:r w:rsidRPr="00D50450">
              <w:rPr>
                <w:rFonts w:ascii="Calibri Light" w:eastAsiaTheme="minorHAnsi" w:hAnsi="Calibri Light" w:cs="Calibri Light"/>
                <w:color w:val="000000" w:themeColor="text1"/>
                <w:sz w:val="22"/>
                <w:szCs w:val="22"/>
                <w:lang w:val="ro-RO"/>
              </w:rPr>
              <w:t xml:space="preserve"> pe piața muncii, ceea ce a dus, printre altele, la încălcarea drepturilor </w:t>
            </w:r>
            <w:r>
              <w:rPr>
                <w:rFonts w:ascii="Calibri Light" w:eastAsiaTheme="minorHAnsi" w:hAnsi="Calibri Light" w:cs="Calibri Light"/>
                <w:color w:val="000000" w:themeColor="text1"/>
                <w:sz w:val="22"/>
                <w:szCs w:val="22"/>
                <w:lang w:val="ro-RO"/>
              </w:rPr>
              <w:t>angajaţilor</w:t>
            </w:r>
            <w:r w:rsidR="00592698">
              <w:rPr>
                <w:rFonts w:ascii="Calibri Light" w:eastAsiaTheme="minorHAnsi" w:hAnsi="Calibri Light" w:cs="Calibri Light"/>
                <w:color w:val="000000" w:themeColor="text1"/>
                <w:sz w:val="22"/>
                <w:szCs w:val="22"/>
                <w:lang w:val="ro-RO"/>
              </w:rPr>
              <w:t>.</w:t>
            </w:r>
          </w:p>
          <w:p w:rsidR="00592698" w:rsidRDefault="004449C1" w:rsidP="00592698">
            <w:pPr>
              <w:pStyle w:val="HTMLPreformatted"/>
              <w:shd w:val="clear" w:color="auto" w:fill="FFFFFF"/>
              <w:ind w:firstLine="540"/>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Alte probleme au fost asociate, de asemenea, cu implementarea corectă a directivei în anumite state membre, precum și cu lipsa de înțelegere a obiectivelor și sarcinilor. Cooperarea în domeniul transferului de informații de către birourile de legătură și birourile competente din statele membre nu a funcționat bine, ceea ce a condus la impunitatea companiilor care încalcă regulile incluse în directivă și în regulamentele executive.</w:t>
            </w:r>
          </w:p>
          <w:p w:rsidR="00592698" w:rsidRDefault="004449C1" w:rsidP="00592698">
            <w:pPr>
              <w:pStyle w:val="HTMLPreformatted"/>
              <w:shd w:val="clear" w:color="auto" w:fill="FFFFFF"/>
              <w:ind w:firstLine="540"/>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Prin urmare, eliminarea acestor greșeli și abuzuri a devenit o necesitate. În acest scop, a </w:t>
            </w:r>
            <w:r>
              <w:rPr>
                <w:rFonts w:ascii="Calibri Light" w:eastAsiaTheme="minorHAnsi" w:hAnsi="Calibri Light" w:cs="Calibri Light"/>
                <w:color w:val="000000" w:themeColor="text1"/>
                <w:sz w:val="22"/>
                <w:szCs w:val="22"/>
                <w:lang w:val="ro-RO"/>
              </w:rPr>
              <w:t>fost adoptată Directiva 2014/67/</w:t>
            </w:r>
            <w:r w:rsidRPr="00D50450">
              <w:rPr>
                <w:rFonts w:ascii="Calibri Light" w:eastAsiaTheme="minorHAnsi" w:hAnsi="Calibri Light" w:cs="Calibri Light"/>
                <w:color w:val="000000" w:themeColor="text1"/>
                <w:sz w:val="22"/>
                <w:szCs w:val="22"/>
                <w:lang w:val="ro-RO"/>
              </w:rPr>
              <w:t>UE a Parlamentului European și a Consiliului din 15 mai 2014 privind punerea</w:t>
            </w:r>
            <w:r>
              <w:rPr>
                <w:rFonts w:ascii="Calibri Light" w:eastAsiaTheme="minorHAnsi" w:hAnsi="Calibri Light" w:cs="Calibri Light"/>
                <w:color w:val="000000" w:themeColor="text1"/>
                <w:sz w:val="22"/>
                <w:szCs w:val="22"/>
                <w:lang w:val="ro-RO"/>
              </w:rPr>
              <w:t xml:space="preserve"> în aplicare a Directivei 96/71/</w:t>
            </w:r>
            <w:r w:rsidRPr="00D50450">
              <w:rPr>
                <w:rFonts w:ascii="Calibri Light" w:eastAsiaTheme="minorHAnsi" w:hAnsi="Calibri Light" w:cs="Calibri Light"/>
                <w:color w:val="000000" w:themeColor="text1"/>
                <w:sz w:val="22"/>
                <w:szCs w:val="22"/>
                <w:lang w:val="ro-RO"/>
              </w:rPr>
              <w:t xml:space="preserve">CE </w:t>
            </w:r>
            <w:r>
              <w:rPr>
                <w:rFonts w:ascii="Calibri Light" w:eastAsiaTheme="minorHAnsi" w:hAnsi="Calibri Light" w:cs="Calibri Light"/>
                <w:color w:val="000000" w:themeColor="text1"/>
                <w:sz w:val="22"/>
                <w:szCs w:val="22"/>
                <w:lang w:val="ro-RO"/>
              </w:rPr>
              <w:t>referitoare la</w:t>
            </w:r>
            <w:r w:rsidRPr="00D50450">
              <w:rPr>
                <w:rFonts w:ascii="Calibri Light" w:eastAsiaTheme="minorHAnsi" w:hAnsi="Calibri Light" w:cs="Calibri Light"/>
                <w:color w:val="000000" w:themeColor="text1"/>
                <w:sz w:val="22"/>
                <w:szCs w:val="22"/>
                <w:lang w:val="ro-RO"/>
              </w:rPr>
              <w:t xml:space="preserve"> detașarea </w:t>
            </w:r>
            <w:r>
              <w:rPr>
                <w:rFonts w:ascii="Calibri Light" w:eastAsiaTheme="minorHAnsi" w:hAnsi="Calibri Light" w:cs="Calibri Light"/>
                <w:color w:val="000000" w:themeColor="text1"/>
                <w:sz w:val="22"/>
                <w:szCs w:val="22"/>
                <w:lang w:val="ro-RO"/>
              </w:rPr>
              <w:t>forţei de muncă</w:t>
            </w:r>
            <w:r w:rsidRPr="00D50450">
              <w:rPr>
                <w:rFonts w:ascii="Calibri Light" w:eastAsiaTheme="minorHAnsi" w:hAnsi="Calibri Light" w:cs="Calibri Light"/>
                <w:color w:val="000000" w:themeColor="text1"/>
                <w:sz w:val="22"/>
                <w:szCs w:val="22"/>
                <w:lang w:val="ro-RO"/>
              </w:rPr>
              <w:t xml:space="preserve"> în cadrul prestării de servicii și a devenit valabil</w:t>
            </w:r>
            <w:r>
              <w:rPr>
                <w:rFonts w:ascii="Calibri Light" w:eastAsiaTheme="minorHAnsi" w:hAnsi="Calibri Light" w:cs="Calibri Light"/>
                <w:color w:val="000000" w:themeColor="text1"/>
                <w:sz w:val="22"/>
                <w:szCs w:val="22"/>
                <w:lang w:val="ro-RO"/>
              </w:rPr>
              <w:t>ă</w:t>
            </w:r>
            <w:r w:rsidRPr="00D50450">
              <w:rPr>
                <w:rFonts w:ascii="Calibri Light" w:eastAsiaTheme="minorHAnsi" w:hAnsi="Calibri Light" w:cs="Calibri Light"/>
                <w:color w:val="000000" w:themeColor="text1"/>
                <w:sz w:val="22"/>
                <w:szCs w:val="22"/>
                <w:lang w:val="ro-RO"/>
              </w:rPr>
              <w:t xml:space="preserve"> la 17 iunie 2014 (în continuare: directiva privind punerea în</w:t>
            </w:r>
            <w:r>
              <w:rPr>
                <w:rFonts w:ascii="Calibri Light" w:eastAsiaTheme="minorHAnsi" w:hAnsi="Calibri Light" w:cs="Calibri Light"/>
                <w:color w:val="000000" w:themeColor="text1"/>
                <w:sz w:val="22"/>
                <w:szCs w:val="22"/>
                <w:lang w:val="ro-RO"/>
              </w:rPr>
              <w:t xml:space="preserve"> aplicare sau Directiva 2014/67/</w:t>
            </w:r>
            <w:r w:rsidRPr="00D50450">
              <w:rPr>
                <w:rFonts w:ascii="Calibri Light" w:eastAsiaTheme="minorHAnsi" w:hAnsi="Calibri Light" w:cs="Calibri Light"/>
                <w:color w:val="000000" w:themeColor="text1"/>
                <w:sz w:val="22"/>
                <w:szCs w:val="22"/>
                <w:lang w:val="ro-RO"/>
              </w:rPr>
              <w:t>UE)</w:t>
            </w:r>
            <w:r w:rsidR="00592698">
              <w:rPr>
                <w:rFonts w:ascii="Calibri Light" w:eastAsiaTheme="minorHAnsi" w:hAnsi="Calibri Light" w:cs="Calibri Light"/>
                <w:color w:val="000000" w:themeColor="text1"/>
                <w:sz w:val="22"/>
                <w:szCs w:val="22"/>
                <w:lang w:val="ro-RO"/>
              </w:rPr>
              <w:t>.</w:t>
            </w:r>
          </w:p>
          <w:p w:rsidR="004449C1" w:rsidRPr="00D50450" w:rsidRDefault="004449C1" w:rsidP="00592698">
            <w:pPr>
              <w:pStyle w:val="HTMLPreformatted"/>
              <w:shd w:val="clear" w:color="auto" w:fill="FFFFFF"/>
              <w:ind w:firstLine="540"/>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Directiva de punere în aplicare a îmbunătățit o serie de aspecte și le-a făcut mai eficiente; de exemplu:</w:t>
            </w:r>
          </w:p>
          <w:p w:rsidR="004449C1" w:rsidRPr="00D50450" w:rsidRDefault="004449C1"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 a introdus măsurile pentru organismele de control din toate țările UE pentru a evalua legalitatea detașării </w:t>
            </w:r>
            <w:r>
              <w:rPr>
                <w:rFonts w:ascii="Calibri Light" w:eastAsiaTheme="minorHAnsi" w:hAnsi="Calibri Light" w:cs="Calibri Light"/>
                <w:color w:val="000000" w:themeColor="text1"/>
                <w:sz w:val="22"/>
                <w:szCs w:val="22"/>
                <w:lang w:val="ro-RO"/>
              </w:rPr>
              <w:t>forţei de muncă</w:t>
            </w:r>
            <w:r w:rsidRPr="00D50450">
              <w:rPr>
                <w:rFonts w:ascii="Calibri Light" w:eastAsiaTheme="minorHAnsi" w:hAnsi="Calibri Light" w:cs="Calibri Light"/>
                <w:color w:val="000000" w:themeColor="text1"/>
                <w:sz w:val="22"/>
                <w:szCs w:val="22"/>
                <w:lang w:val="ro-RO"/>
              </w:rPr>
              <w:t>, precum și pentru a preveni abuzurile și eludarea reglementărilor (articolul 4),</w:t>
            </w:r>
          </w:p>
          <w:p w:rsidR="004449C1" w:rsidRPr="00D50450" w:rsidRDefault="004449C1"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a oferit un acces mai bun la informații</w:t>
            </w:r>
            <w:r>
              <w:rPr>
                <w:rFonts w:ascii="Calibri Light" w:eastAsiaTheme="minorHAnsi" w:hAnsi="Calibri Light" w:cs="Calibri Light"/>
                <w:color w:val="000000" w:themeColor="text1"/>
                <w:sz w:val="22"/>
                <w:szCs w:val="22"/>
                <w:lang w:val="ro-RO"/>
              </w:rPr>
              <w:t>le</w:t>
            </w:r>
            <w:r w:rsidRPr="00D50450">
              <w:rPr>
                <w:rFonts w:ascii="Calibri Light" w:eastAsiaTheme="minorHAnsi" w:hAnsi="Calibri Light" w:cs="Calibri Light"/>
                <w:color w:val="000000" w:themeColor="text1"/>
                <w:sz w:val="22"/>
                <w:szCs w:val="22"/>
                <w:lang w:val="ro-RO"/>
              </w:rPr>
              <w:t xml:space="preserve"> privind </w:t>
            </w:r>
            <w:r>
              <w:rPr>
                <w:rFonts w:ascii="Calibri Light" w:eastAsiaTheme="minorHAnsi" w:hAnsi="Calibri Light" w:cs="Calibri Light"/>
                <w:color w:val="000000" w:themeColor="text1"/>
                <w:sz w:val="22"/>
                <w:szCs w:val="22"/>
                <w:lang w:val="ro-RO"/>
              </w:rPr>
              <w:t>condițiile de angajare ale unei persoane</w:t>
            </w:r>
            <w:r w:rsidRPr="00D50450">
              <w:rPr>
                <w:rFonts w:ascii="Calibri Light" w:eastAsiaTheme="minorHAnsi" w:hAnsi="Calibri Light" w:cs="Calibri Light"/>
                <w:color w:val="000000" w:themeColor="text1"/>
                <w:sz w:val="22"/>
                <w:szCs w:val="22"/>
                <w:lang w:val="ro-RO"/>
              </w:rPr>
              <w:t xml:space="preserve"> detașat</w:t>
            </w:r>
            <w:r>
              <w:rPr>
                <w:rFonts w:ascii="Calibri Light" w:eastAsiaTheme="minorHAnsi" w:hAnsi="Calibri Light" w:cs="Calibri Light"/>
                <w:color w:val="000000" w:themeColor="text1"/>
                <w:sz w:val="22"/>
                <w:szCs w:val="22"/>
                <w:lang w:val="ro-RO"/>
              </w:rPr>
              <w:t>e</w:t>
            </w:r>
            <w:r w:rsidRPr="00D50450">
              <w:rPr>
                <w:rFonts w:ascii="Calibri Light" w:eastAsiaTheme="minorHAnsi" w:hAnsi="Calibri Light" w:cs="Calibri Light"/>
                <w:color w:val="000000" w:themeColor="text1"/>
                <w:sz w:val="22"/>
                <w:szCs w:val="22"/>
                <w:lang w:val="ro-RO"/>
              </w:rPr>
              <w:t>, precum și un mecanism pentru schimbul mai rapid de informații între statele membre (articolul 5). În acest scop, s</w:t>
            </w:r>
            <w:r>
              <w:rPr>
                <w:rFonts w:ascii="Calibri Light" w:eastAsiaTheme="minorHAnsi" w:hAnsi="Calibri Light" w:cs="Calibri Light"/>
                <w:color w:val="000000" w:themeColor="text1"/>
                <w:sz w:val="22"/>
                <w:szCs w:val="22"/>
                <w:lang w:val="ro-RO"/>
              </w:rPr>
              <w:t>-</w:t>
            </w:r>
            <w:r w:rsidRPr="00D50450">
              <w:rPr>
                <w:rFonts w:ascii="Calibri Light" w:eastAsiaTheme="minorHAnsi" w:hAnsi="Calibri Light" w:cs="Calibri Light"/>
                <w:color w:val="000000" w:themeColor="text1"/>
                <w:sz w:val="22"/>
                <w:szCs w:val="22"/>
                <w:lang w:val="ro-RO"/>
              </w:rPr>
              <w:t xml:space="preserve">a subliniat că a fost necesar să se creeze un site web oficial național care să ofere informații clare și complete privind condițiile de angajare; în afară de reglementările legale obișnuite, site-ul web ar trebui, de asemenea, să informeze despre contractele colective, precum și despre orice alte surse </w:t>
            </w:r>
            <w:r>
              <w:rPr>
                <w:rFonts w:ascii="Calibri Light" w:eastAsiaTheme="minorHAnsi" w:hAnsi="Calibri Light" w:cs="Calibri Light"/>
                <w:color w:val="000000" w:themeColor="text1"/>
                <w:sz w:val="22"/>
                <w:szCs w:val="22"/>
                <w:lang w:val="ro-RO"/>
              </w:rPr>
              <w:t>referitoare la dreptul</w:t>
            </w:r>
            <w:r w:rsidRPr="00D50450">
              <w:rPr>
                <w:rFonts w:ascii="Calibri Light" w:eastAsiaTheme="minorHAnsi" w:hAnsi="Calibri Light" w:cs="Calibri Light"/>
                <w:color w:val="000000" w:themeColor="text1"/>
                <w:sz w:val="22"/>
                <w:szCs w:val="22"/>
                <w:lang w:val="ro-RO"/>
              </w:rPr>
              <w:t xml:space="preserve"> muncii care ar putea </w:t>
            </w:r>
            <w:r>
              <w:rPr>
                <w:rFonts w:ascii="Calibri Light" w:eastAsiaTheme="minorHAnsi" w:hAnsi="Calibri Light" w:cs="Calibri Light"/>
                <w:color w:val="000000" w:themeColor="text1"/>
                <w:sz w:val="22"/>
                <w:szCs w:val="22"/>
                <w:lang w:val="ro-RO"/>
              </w:rPr>
              <w:t>proteja forţa de muncă detașată</w:t>
            </w:r>
            <w:r w:rsidRPr="00D50450">
              <w:rPr>
                <w:rFonts w:ascii="Calibri Light" w:eastAsiaTheme="minorHAnsi" w:hAnsi="Calibri Light" w:cs="Calibri Light"/>
                <w:color w:val="000000" w:themeColor="text1"/>
                <w:sz w:val="22"/>
                <w:szCs w:val="22"/>
                <w:lang w:val="ro-RO"/>
              </w:rPr>
              <w:t>,</w:t>
            </w:r>
          </w:p>
          <w:p w:rsidR="004449C1" w:rsidRPr="00D50450" w:rsidRDefault="004449C1"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a consolidat cooperarea administrativă a organismelor competente, schimbul de funcționari responsabili cu detașarea</w:t>
            </w:r>
            <w:r>
              <w:rPr>
                <w:rFonts w:ascii="Calibri Light" w:eastAsiaTheme="minorHAnsi" w:hAnsi="Calibri Light" w:cs="Calibri Light"/>
                <w:color w:val="000000" w:themeColor="text1"/>
                <w:sz w:val="22"/>
                <w:szCs w:val="22"/>
                <w:lang w:val="ro-RO"/>
              </w:rPr>
              <w:t xml:space="preserve"> forţei de muncă</w:t>
            </w:r>
            <w:r w:rsidRPr="00D50450">
              <w:rPr>
                <w:rFonts w:ascii="Calibri Light" w:eastAsiaTheme="minorHAnsi" w:hAnsi="Calibri Light" w:cs="Calibri Light"/>
                <w:color w:val="000000" w:themeColor="text1"/>
                <w:sz w:val="22"/>
                <w:szCs w:val="22"/>
                <w:lang w:val="ro-RO"/>
              </w:rPr>
              <w:t xml:space="preserve">, precum și ajutorul reciproc pentru punerea în aplicare, aplicarea și </w:t>
            </w:r>
            <w:r>
              <w:rPr>
                <w:rFonts w:ascii="Calibri Light" w:eastAsiaTheme="minorHAnsi" w:hAnsi="Calibri Light" w:cs="Calibri Light"/>
                <w:color w:val="000000" w:themeColor="text1"/>
                <w:sz w:val="22"/>
                <w:szCs w:val="22"/>
                <w:lang w:val="ro-RO"/>
              </w:rPr>
              <w:t>implementarea</w:t>
            </w:r>
            <w:r w:rsidRPr="00D50450">
              <w:rPr>
                <w:rFonts w:ascii="Calibri Light" w:eastAsiaTheme="minorHAnsi" w:hAnsi="Calibri Light" w:cs="Calibri Light"/>
                <w:color w:val="000000" w:themeColor="text1"/>
                <w:sz w:val="22"/>
                <w:szCs w:val="22"/>
                <w:lang w:val="ro-RO"/>
              </w:rPr>
              <w:t xml:space="preserve"> directivelor menționate (articolele 6 și 8); prevede, </w:t>
            </w:r>
            <w:r w:rsidRPr="00A14E60">
              <w:rPr>
                <w:rFonts w:ascii="Calibri Light" w:eastAsiaTheme="minorHAnsi" w:hAnsi="Calibri Light" w:cs="Calibri Light"/>
                <w:i/>
                <w:color w:val="000000" w:themeColor="text1"/>
                <w:sz w:val="22"/>
                <w:szCs w:val="22"/>
                <w:lang w:val="ro-RO"/>
              </w:rPr>
              <w:t>inter alia</w:t>
            </w:r>
            <w:r>
              <w:rPr>
                <w:rFonts w:ascii="Calibri Light" w:eastAsiaTheme="minorHAnsi" w:hAnsi="Calibri Light" w:cs="Calibri Light"/>
                <w:color w:val="000000" w:themeColor="text1"/>
                <w:sz w:val="22"/>
                <w:szCs w:val="22"/>
                <w:lang w:val="ro-RO"/>
              </w:rPr>
              <w:t>.</w:t>
            </w:r>
            <w:r w:rsidRPr="00D50450">
              <w:rPr>
                <w:rFonts w:ascii="Calibri Light" w:eastAsiaTheme="minorHAnsi" w:hAnsi="Calibri Light" w:cs="Calibri Light"/>
                <w:color w:val="000000" w:themeColor="text1"/>
                <w:sz w:val="22"/>
                <w:szCs w:val="22"/>
                <w:lang w:val="ro-RO"/>
              </w:rPr>
              <w:t xml:space="preserve"> furnizarea informațiilor de înregistrare prin mijloace electronice (plătitor de TVA) cât mai rapid posibil, în maximum 2 zile lucrătoare și alte informații în termen de 25 de zile lucrătoare de la primirea cererii, cu excepția cazului în care statele membre au convenit asupra unui termen mai scurt,</w:t>
            </w:r>
          </w:p>
          <w:p w:rsidR="004449C1" w:rsidRPr="00D50450" w:rsidRDefault="004449C1"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 în sectorul construcțiilor, în cazul subcontractării, a introdus răspunderea </w:t>
            </w:r>
            <w:r>
              <w:rPr>
                <w:rFonts w:ascii="Calibri Light" w:eastAsiaTheme="minorHAnsi" w:hAnsi="Calibri Light" w:cs="Calibri Light"/>
                <w:color w:val="000000" w:themeColor="text1"/>
                <w:sz w:val="22"/>
                <w:szCs w:val="22"/>
                <w:lang w:val="ro-RO"/>
              </w:rPr>
              <w:t>antreprenorului</w:t>
            </w:r>
            <w:r w:rsidRPr="00D50450">
              <w:rPr>
                <w:rFonts w:ascii="Calibri Light" w:eastAsiaTheme="minorHAnsi" w:hAnsi="Calibri Light" w:cs="Calibri Light"/>
                <w:color w:val="000000" w:themeColor="text1"/>
                <w:sz w:val="22"/>
                <w:szCs w:val="22"/>
                <w:lang w:val="ro-RO"/>
              </w:rPr>
              <w:t xml:space="preserve"> și a sub</w:t>
            </w:r>
            <w:r>
              <w:rPr>
                <w:rFonts w:ascii="Calibri Light" w:eastAsiaTheme="minorHAnsi" w:hAnsi="Calibri Light" w:cs="Calibri Light"/>
                <w:color w:val="000000" w:themeColor="text1"/>
                <w:sz w:val="22"/>
                <w:szCs w:val="22"/>
                <w:lang w:val="ro-RO"/>
              </w:rPr>
              <w:t xml:space="preserve">antreprenorului </w:t>
            </w:r>
            <w:r w:rsidRPr="00D50450">
              <w:rPr>
                <w:rFonts w:ascii="Calibri Light" w:eastAsiaTheme="minorHAnsi" w:hAnsi="Calibri Light" w:cs="Calibri Light"/>
                <w:color w:val="000000" w:themeColor="text1"/>
                <w:sz w:val="22"/>
                <w:szCs w:val="22"/>
                <w:lang w:val="ro-RO"/>
              </w:rPr>
              <w:t>pentru orice remunerație restant</w:t>
            </w:r>
            <w:r>
              <w:rPr>
                <w:rFonts w:ascii="Calibri Light" w:eastAsiaTheme="minorHAnsi" w:hAnsi="Calibri Light" w:cs="Calibri Light"/>
                <w:color w:val="000000" w:themeColor="text1"/>
                <w:sz w:val="22"/>
                <w:szCs w:val="22"/>
                <w:lang w:val="ro-RO"/>
              </w:rPr>
              <w:t>ă</w:t>
            </w:r>
            <w:r w:rsidRPr="00D50450">
              <w:rPr>
                <w:rFonts w:ascii="Calibri Light" w:eastAsiaTheme="minorHAnsi" w:hAnsi="Calibri Light" w:cs="Calibri Light"/>
                <w:color w:val="000000" w:themeColor="text1"/>
                <w:sz w:val="22"/>
                <w:szCs w:val="22"/>
                <w:lang w:val="ro-RO"/>
              </w:rPr>
              <w:t xml:space="preserve"> pentru </w:t>
            </w:r>
            <w:r>
              <w:rPr>
                <w:rFonts w:ascii="Calibri Light" w:eastAsiaTheme="minorHAnsi" w:hAnsi="Calibri Light" w:cs="Calibri Light"/>
                <w:color w:val="000000" w:themeColor="text1"/>
                <w:sz w:val="22"/>
                <w:szCs w:val="22"/>
                <w:lang w:val="ro-RO"/>
              </w:rPr>
              <w:t>muncitorii</w:t>
            </w:r>
            <w:r w:rsidRPr="00D50450">
              <w:rPr>
                <w:rFonts w:ascii="Calibri Light" w:eastAsiaTheme="minorHAnsi" w:hAnsi="Calibri Light" w:cs="Calibri Light"/>
                <w:color w:val="000000" w:themeColor="text1"/>
                <w:sz w:val="22"/>
                <w:szCs w:val="22"/>
                <w:lang w:val="ro-RO"/>
              </w:rPr>
              <w:t xml:space="preserve"> detașați la sub</w:t>
            </w:r>
            <w:r>
              <w:rPr>
                <w:rFonts w:ascii="Calibri Light" w:eastAsiaTheme="minorHAnsi" w:hAnsi="Calibri Light" w:cs="Calibri Light"/>
                <w:color w:val="000000" w:themeColor="text1"/>
                <w:sz w:val="22"/>
                <w:szCs w:val="22"/>
                <w:lang w:val="ro-RO"/>
              </w:rPr>
              <w:t xml:space="preserve">antreprenori </w:t>
            </w:r>
            <w:r w:rsidRPr="00D50450">
              <w:rPr>
                <w:rFonts w:ascii="Calibri Light" w:eastAsiaTheme="minorHAnsi" w:hAnsi="Calibri Light" w:cs="Calibri Light"/>
                <w:color w:val="000000" w:themeColor="text1"/>
                <w:sz w:val="22"/>
                <w:szCs w:val="22"/>
                <w:lang w:val="ro-RO"/>
              </w:rPr>
              <w:t>(articolul 12),</w:t>
            </w:r>
          </w:p>
          <w:p w:rsidR="004449C1" w:rsidRPr="00D50450" w:rsidRDefault="004449C1"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a introdus aplicarea transfrontalieră a amenzilor și a penalităților (capitolul VI); până în prezent, din cauza lipsei unor instrumente legale adecvate și rapide, precum și a problemelor legate de cooperarea organelor competente, de regulă, în practică</w:t>
            </w:r>
            <w:r>
              <w:rPr>
                <w:rFonts w:ascii="Calibri Light" w:eastAsiaTheme="minorHAnsi" w:hAnsi="Calibri Light" w:cs="Calibri Light"/>
                <w:color w:val="000000" w:themeColor="text1"/>
                <w:sz w:val="22"/>
                <w:szCs w:val="22"/>
                <w:lang w:val="ro-RO"/>
              </w:rPr>
              <w:t>,</w:t>
            </w:r>
            <w:r w:rsidRPr="00D50450">
              <w:rPr>
                <w:rFonts w:ascii="Calibri Light" w:eastAsiaTheme="minorHAnsi" w:hAnsi="Calibri Light" w:cs="Calibri Light"/>
                <w:color w:val="000000" w:themeColor="text1"/>
                <w:sz w:val="22"/>
                <w:szCs w:val="22"/>
                <w:lang w:val="ro-RO"/>
              </w:rPr>
              <w:t xml:space="preserve"> sancțiunile administrative și amenzi</w:t>
            </w:r>
            <w:r>
              <w:rPr>
                <w:rFonts w:ascii="Calibri Light" w:eastAsiaTheme="minorHAnsi" w:hAnsi="Calibri Light" w:cs="Calibri Light"/>
                <w:color w:val="000000" w:themeColor="text1"/>
                <w:sz w:val="22"/>
                <w:szCs w:val="22"/>
                <w:lang w:val="ro-RO"/>
              </w:rPr>
              <w:t>le</w:t>
            </w:r>
            <w:r w:rsidRPr="00D50450">
              <w:rPr>
                <w:rFonts w:ascii="Calibri Light" w:eastAsiaTheme="minorHAnsi" w:hAnsi="Calibri Light" w:cs="Calibri Light"/>
                <w:color w:val="000000" w:themeColor="text1"/>
                <w:sz w:val="22"/>
                <w:szCs w:val="22"/>
                <w:lang w:val="ro-RO"/>
              </w:rPr>
              <w:t xml:space="preserve"> nu au fost aplicate în afara unei țări care le-a impus,</w:t>
            </w:r>
          </w:p>
          <w:p w:rsidR="004449C1" w:rsidRPr="00D50450" w:rsidRDefault="004449C1" w:rsidP="004449C1">
            <w:pPr>
              <w:pStyle w:val="HTMLPreformatted"/>
              <w:shd w:val="clear" w:color="auto" w:fill="FFFFFF"/>
              <w:ind w:firstLine="61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 </w:t>
            </w:r>
            <w:r w:rsidRPr="00D50450">
              <w:rPr>
                <w:rFonts w:ascii="Calibri Light" w:eastAsiaTheme="minorHAnsi" w:hAnsi="Calibri Light" w:cs="Calibri Light"/>
                <w:color w:val="000000" w:themeColor="text1"/>
                <w:sz w:val="22"/>
                <w:szCs w:val="22"/>
                <w:lang w:val="ro-RO"/>
              </w:rPr>
              <w:t xml:space="preserve">a introdus liste de măsuri de control care vizează numai punerea în aplicare a directivei privind detașarea </w:t>
            </w:r>
            <w:r>
              <w:rPr>
                <w:rFonts w:ascii="Calibri Light" w:eastAsiaTheme="minorHAnsi" w:hAnsi="Calibri Light" w:cs="Calibri Light"/>
                <w:color w:val="000000" w:themeColor="text1"/>
                <w:sz w:val="22"/>
                <w:szCs w:val="22"/>
                <w:lang w:val="ro-RO"/>
              </w:rPr>
              <w:t>forţei de muncă</w:t>
            </w:r>
            <w:r w:rsidRPr="00D50450">
              <w:rPr>
                <w:rFonts w:ascii="Calibri Light" w:eastAsiaTheme="minorHAnsi" w:hAnsi="Calibri Light" w:cs="Calibri Light"/>
                <w:color w:val="000000" w:themeColor="text1"/>
                <w:sz w:val="22"/>
                <w:szCs w:val="22"/>
                <w:lang w:val="ro-RO"/>
              </w:rPr>
              <w:t>, cu condiția ca acestea să fie justificate și proporționale (articolul 9).</w:t>
            </w:r>
            <w:r w:rsidRPr="00D50450">
              <w:rPr>
                <w:rFonts w:ascii="Calibri Light" w:hAnsi="Calibri Light" w:cs="Calibri Light"/>
                <w:color w:val="000000" w:themeColor="text1"/>
                <w:lang w:val="ro-RO"/>
              </w:rPr>
              <w:t xml:space="preserve"> </w:t>
            </w:r>
          </w:p>
          <w:p w:rsidR="004449C1" w:rsidRDefault="004449C1"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Un document extrem de important în domeniu</w:t>
            </w:r>
            <w:r>
              <w:rPr>
                <w:rFonts w:ascii="Calibri Light" w:eastAsiaTheme="minorHAnsi" w:hAnsi="Calibri Light" w:cs="Calibri Light"/>
                <w:color w:val="000000" w:themeColor="text1"/>
                <w:sz w:val="22"/>
                <w:szCs w:val="22"/>
                <w:lang w:val="ro-RO"/>
              </w:rPr>
              <w:t>l abordat este cea mai recentă D</w:t>
            </w:r>
            <w:r w:rsidRPr="00D50450">
              <w:rPr>
                <w:rFonts w:ascii="Calibri Light" w:eastAsiaTheme="minorHAnsi" w:hAnsi="Calibri Light" w:cs="Calibri Light"/>
                <w:color w:val="000000" w:themeColor="text1"/>
                <w:sz w:val="22"/>
                <w:szCs w:val="22"/>
                <w:lang w:val="ro-RO"/>
              </w:rPr>
              <w:t>irectivă a Parlamentului European și a Consiliului (UE) 2018/957 din 28 iunie 2018 de modificare a Directive</w:t>
            </w:r>
            <w:r>
              <w:rPr>
                <w:rFonts w:ascii="Calibri Light" w:eastAsiaTheme="minorHAnsi" w:hAnsi="Calibri Light" w:cs="Calibri Light"/>
                <w:color w:val="000000" w:themeColor="text1"/>
                <w:sz w:val="22"/>
                <w:szCs w:val="22"/>
                <w:lang w:val="ro-RO"/>
              </w:rPr>
              <w:t>i 96/71/</w:t>
            </w:r>
            <w:r w:rsidRPr="00D50450">
              <w:rPr>
                <w:rFonts w:ascii="Calibri Light" w:eastAsiaTheme="minorHAnsi" w:hAnsi="Calibri Light" w:cs="Calibri Light"/>
                <w:color w:val="000000" w:themeColor="text1"/>
                <w:sz w:val="22"/>
                <w:szCs w:val="22"/>
                <w:lang w:val="ro-RO"/>
              </w:rPr>
              <w:t xml:space="preserve">CE privind detașarea </w:t>
            </w:r>
            <w:r>
              <w:rPr>
                <w:rFonts w:ascii="Calibri Light" w:eastAsiaTheme="minorHAnsi" w:hAnsi="Calibri Light" w:cs="Calibri Light"/>
                <w:color w:val="000000" w:themeColor="text1"/>
                <w:sz w:val="22"/>
                <w:szCs w:val="22"/>
                <w:lang w:val="ro-RO"/>
              </w:rPr>
              <w:t>forţei de muncă</w:t>
            </w:r>
            <w:r w:rsidRPr="00D50450">
              <w:rPr>
                <w:rFonts w:ascii="Calibri Light" w:eastAsiaTheme="minorHAnsi" w:hAnsi="Calibri Light" w:cs="Calibri Light"/>
                <w:color w:val="000000" w:themeColor="text1"/>
                <w:sz w:val="22"/>
                <w:szCs w:val="22"/>
                <w:lang w:val="ro-RO"/>
              </w:rPr>
              <w:t xml:space="preserve"> în </w:t>
            </w:r>
            <w:r>
              <w:rPr>
                <w:rFonts w:ascii="Calibri Light" w:eastAsiaTheme="minorHAnsi" w:hAnsi="Calibri Light" w:cs="Calibri Light"/>
                <w:color w:val="000000" w:themeColor="text1"/>
                <w:sz w:val="22"/>
                <w:szCs w:val="22"/>
                <w:lang w:val="ro-RO"/>
              </w:rPr>
              <w:t>domeniul s</w:t>
            </w:r>
            <w:r w:rsidRPr="00D50450">
              <w:rPr>
                <w:rFonts w:ascii="Calibri Light" w:eastAsiaTheme="minorHAnsi" w:hAnsi="Calibri Light" w:cs="Calibri Light"/>
                <w:color w:val="000000" w:themeColor="text1"/>
                <w:sz w:val="22"/>
                <w:szCs w:val="22"/>
                <w:lang w:val="ro-RO"/>
              </w:rPr>
              <w:t>ervicii</w:t>
            </w:r>
            <w:r>
              <w:rPr>
                <w:rFonts w:ascii="Calibri Light" w:eastAsiaTheme="minorHAnsi" w:hAnsi="Calibri Light" w:cs="Calibri Light"/>
                <w:color w:val="000000" w:themeColor="text1"/>
                <w:sz w:val="22"/>
                <w:szCs w:val="22"/>
                <w:lang w:val="ro-RO"/>
              </w:rPr>
              <w:t>lor</w:t>
            </w:r>
            <w:r w:rsidRPr="00D50450">
              <w:rPr>
                <w:rFonts w:ascii="Calibri Light" w:eastAsiaTheme="minorHAnsi" w:hAnsi="Calibri Light" w:cs="Calibri Light"/>
                <w:color w:val="000000" w:themeColor="text1"/>
                <w:sz w:val="22"/>
                <w:szCs w:val="22"/>
                <w:lang w:val="ro-RO"/>
              </w:rPr>
              <w:t>. Noua directivă include principii critice, care ar trebui</w:t>
            </w:r>
            <w:r>
              <w:rPr>
                <w:rFonts w:ascii="Calibri Light" w:eastAsiaTheme="minorHAnsi" w:hAnsi="Calibri Light" w:cs="Calibri Light"/>
                <w:color w:val="000000" w:themeColor="text1"/>
                <w:sz w:val="22"/>
                <w:szCs w:val="22"/>
                <w:lang w:val="ro-RO"/>
              </w:rPr>
              <w:t xml:space="preserve"> să asigure</w:t>
            </w:r>
            <w:r w:rsidRPr="00D50450">
              <w:rPr>
                <w:rFonts w:ascii="Calibri Light" w:eastAsiaTheme="minorHAnsi" w:hAnsi="Calibri Light" w:cs="Calibri Light"/>
                <w:color w:val="000000" w:themeColor="text1"/>
                <w:sz w:val="22"/>
                <w:szCs w:val="22"/>
                <w:lang w:val="ro-RO"/>
              </w:rPr>
              <w:t>:</w:t>
            </w:r>
          </w:p>
          <w:p w:rsidR="00592698" w:rsidRPr="00D50450" w:rsidRDefault="00592698"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p>
          <w:p w:rsidR="004449C1" w:rsidRPr="00D50450" w:rsidRDefault="004449C1" w:rsidP="004449C1">
            <w:pPr>
              <w:pStyle w:val="HTMLPreformatted"/>
              <w:numPr>
                <w:ilvl w:val="0"/>
                <w:numId w:val="23"/>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consolidarea coordonării între organismele sau entitățile competente din statele membre și cooperarea la nivel european în domeniul combaterii fraudei </w:t>
            </w:r>
            <w:r>
              <w:rPr>
                <w:rFonts w:ascii="Calibri Light" w:eastAsiaTheme="minorHAnsi" w:hAnsi="Calibri Light" w:cs="Calibri Light"/>
                <w:color w:val="000000" w:themeColor="text1"/>
                <w:sz w:val="22"/>
                <w:szCs w:val="22"/>
                <w:lang w:val="ro-RO"/>
              </w:rPr>
              <w:t>referitoare la</w:t>
            </w:r>
            <w:r w:rsidRPr="00D50450">
              <w:rPr>
                <w:rFonts w:ascii="Calibri Light" w:eastAsiaTheme="minorHAnsi" w:hAnsi="Calibri Light" w:cs="Calibri Light"/>
                <w:color w:val="000000" w:themeColor="text1"/>
                <w:sz w:val="22"/>
                <w:szCs w:val="22"/>
                <w:lang w:val="ro-RO"/>
              </w:rPr>
              <w:t xml:space="preserve"> detaș</w:t>
            </w:r>
            <w:r>
              <w:rPr>
                <w:rFonts w:ascii="Calibri Light" w:eastAsiaTheme="minorHAnsi" w:hAnsi="Calibri Light" w:cs="Calibri Light"/>
                <w:color w:val="000000" w:themeColor="text1"/>
                <w:sz w:val="22"/>
                <w:szCs w:val="22"/>
                <w:lang w:val="ro-RO"/>
              </w:rPr>
              <w:t>area</w:t>
            </w:r>
            <w:r w:rsidRPr="00D50450">
              <w:rPr>
                <w:rFonts w:ascii="Calibri Light" w:eastAsiaTheme="minorHAnsi" w:hAnsi="Calibri Light" w:cs="Calibri Light"/>
                <w:color w:val="000000" w:themeColor="text1"/>
                <w:sz w:val="22"/>
                <w:szCs w:val="22"/>
                <w:lang w:val="ro-RO"/>
              </w:rPr>
              <w:t xml:space="preserve"> </w:t>
            </w:r>
            <w:r>
              <w:rPr>
                <w:rFonts w:ascii="Calibri Light" w:eastAsiaTheme="minorHAnsi" w:hAnsi="Calibri Light" w:cs="Calibri Light"/>
                <w:color w:val="000000" w:themeColor="text1"/>
                <w:sz w:val="22"/>
                <w:szCs w:val="22"/>
                <w:lang w:val="ro-RO"/>
              </w:rPr>
              <w:t>forţei de muncă</w:t>
            </w:r>
            <w:r w:rsidRPr="00D50450">
              <w:rPr>
                <w:rFonts w:ascii="Calibri Light" w:eastAsiaTheme="minorHAnsi" w:hAnsi="Calibri Light" w:cs="Calibri Light"/>
                <w:color w:val="000000" w:themeColor="text1"/>
                <w:sz w:val="22"/>
                <w:szCs w:val="22"/>
                <w:lang w:val="ro-RO"/>
              </w:rPr>
              <w:t>,</w:t>
            </w:r>
          </w:p>
          <w:p w:rsidR="004449C1" w:rsidRPr="00D50450" w:rsidRDefault="004449C1" w:rsidP="004449C1">
            <w:pPr>
              <w:pStyle w:val="HTMLPreformatted"/>
              <w:numPr>
                <w:ilvl w:val="0"/>
                <w:numId w:val="23"/>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eliminarea oricărei discriminări care, printre altele, înseamnă "</w:t>
            </w:r>
            <w:r>
              <w:rPr>
                <w:rFonts w:ascii="Calibri Light" w:eastAsiaTheme="minorHAnsi" w:hAnsi="Calibri Light" w:cs="Calibri Light"/>
                <w:color w:val="000000" w:themeColor="text1"/>
                <w:sz w:val="22"/>
                <w:szCs w:val="22"/>
                <w:lang w:val="ro-RO"/>
              </w:rPr>
              <w:t>tratarea in mod egal</w:t>
            </w:r>
            <w:r w:rsidRPr="00D50450">
              <w:rPr>
                <w:rFonts w:ascii="Calibri Light" w:eastAsiaTheme="minorHAnsi" w:hAnsi="Calibri Light" w:cs="Calibri Light"/>
                <w:color w:val="000000" w:themeColor="text1"/>
                <w:sz w:val="22"/>
                <w:szCs w:val="22"/>
                <w:lang w:val="ro-RO"/>
              </w:rPr>
              <w:t xml:space="preserve">" a tuturor angajaților în ceea ce privește condițiile de remunerare în conformitate cu sloganul "remunerație egală pentru muncă egală în același loc". Aceasta se aplică și restituirii cheltuielilor de călătorie, de </w:t>
            </w:r>
            <w:r>
              <w:rPr>
                <w:rFonts w:ascii="Calibri Light" w:eastAsiaTheme="minorHAnsi" w:hAnsi="Calibri Light" w:cs="Calibri Light"/>
                <w:color w:val="000000" w:themeColor="text1"/>
                <w:sz w:val="22"/>
                <w:szCs w:val="22"/>
                <w:lang w:val="ro-RO"/>
              </w:rPr>
              <w:t>masă</w:t>
            </w:r>
            <w:r w:rsidRPr="00D50450">
              <w:rPr>
                <w:rFonts w:ascii="Calibri Light" w:eastAsiaTheme="minorHAnsi" w:hAnsi="Calibri Light" w:cs="Calibri Light"/>
                <w:color w:val="000000" w:themeColor="text1"/>
                <w:sz w:val="22"/>
                <w:szCs w:val="22"/>
                <w:lang w:val="ro-RO"/>
              </w:rPr>
              <w:t xml:space="preserve"> și de cazare.</w:t>
            </w:r>
          </w:p>
          <w:p w:rsidR="004449C1" w:rsidRPr="00D50450" w:rsidRDefault="004449C1" w:rsidP="004449C1">
            <w:pPr>
              <w:pStyle w:val="HTMLPreformatted"/>
              <w:numPr>
                <w:ilvl w:val="0"/>
                <w:numId w:val="23"/>
              </w:numPr>
              <w:shd w:val="clear" w:color="auto" w:fill="FFFFFF"/>
              <w:jc w:val="both"/>
              <w:rPr>
                <w:rFonts w:ascii="Calibri Light" w:eastAsiaTheme="minorHAnsi" w:hAnsi="Calibri Light" w:cs="Calibri Light"/>
                <w:color w:val="000000" w:themeColor="text1"/>
                <w:sz w:val="22"/>
                <w:szCs w:val="22"/>
                <w:lang w:val="ro-RO"/>
              </w:rPr>
            </w:pPr>
            <w:r>
              <w:rPr>
                <w:rFonts w:ascii="Calibri Light" w:eastAsiaTheme="minorHAnsi" w:hAnsi="Calibri Light" w:cs="Calibri Light"/>
                <w:color w:val="000000" w:themeColor="text1"/>
                <w:sz w:val="22"/>
                <w:szCs w:val="22"/>
                <w:lang w:val="ro-RO"/>
              </w:rPr>
              <w:t>luarea</w:t>
            </w:r>
            <w:r w:rsidRPr="00D50450">
              <w:rPr>
                <w:rFonts w:ascii="Calibri Light" w:eastAsiaTheme="minorHAnsi" w:hAnsi="Calibri Light" w:cs="Calibri Light"/>
                <w:color w:val="000000" w:themeColor="text1"/>
                <w:sz w:val="22"/>
                <w:szCs w:val="22"/>
                <w:lang w:val="ro-RO"/>
              </w:rPr>
              <w:t xml:space="preserve"> în considerare a tuturor elementelor de remunerare, </w:t>
            </w:r>
            <w:r>
              <w:rPr>
                <w:rFonts w:ascii="Calibri Light" w:eastAsiaTheme="minorHAnsi" w:hAnsi="Calibri Light" w:cs="Calibri Light"/>
                <w:color w:val="000000" w:themeColor="text1"/>
                <w:sz w:val="22"/>
                <w:szCs w:val="22"/>
                <w:lang w:val="ro-RO"/>
              </w:rPr>
              <w:t>inclusiv</w:t>
            </w:r>
            <w:r w:rsidRPr="00D50450">
              <w:rPr>
                <w:rFonts w:ascii="Calibri Light" w:eastAsiaTheme="minorHAnsi" w:hAnsi="Calibri Light" w:cs="Calibri Light"/>
                <w:color w:val="000000" w:themeColor="text1"/>
                <w:sz w:val="22"/>
                <w:szCs w:val="22"/>
                <w:lang w:val="ro-RO"/>
              </w:rPr>
              <w:t xml:space="preserve"> cele prevăzute de reglementările privind locurile de muncă (</w:t>
            </w:r>
            <w:r>
              <w:rPr>
                <w:rFonts w:ascii="Calibri Light" w:eastAsiaTheme="minorHAnsi" w:hAnsi="Calibri Light" w:cs="Calibri Light"/>
                <w:color w:val="000000" w:themeColor="text1"/>
                <w:sz w:val="22"/>
                <w:szCs w:val="22"/>
                <w:lang w:val="ro-RO"/>
              </w:rPr>
              <w:t>contractele</w:t>
            </w:r>
            <w:r w:rsidRPr="00D50450">
              <w:rPr>
                <w:rFonts w:ascii="Calibri Light" w:eastAsiaTheme="minorHAnsi" w:hAnsi="Calibri Light" w:cs="Calibri Light"/>
                <w:color w:val="000000" w:themeColor="text1"/>
                <w:sz w:val="22"/>
                <w:szCs w:val="22"/>
                <w:lang w:val="ro-RO"/>
              </w:rPr>
              <w:t xml:space="preserve"> colective) - până în prezent s</w:t>
            </w:r>
            <w:r>
              <w:rPr>
                <w:rFonts w:ascii="Calibri Light" w:eastAsiaTheme="minorHAnsi" w:hAnsi="Calibri Light" w:cs="Calibri Light"/>
                <w:color w:val="000000" w:themeColor="text1"/>
                <w:sz w:val="22"/>
                <w:szCs w:val="22"/>
                <w:lang w:val="ro-RO"/>
              </w:rPr>
              <w:t>-</w:t>
            </w:r>
            <w:r w:rsidRPr="00D50450">
              <w:rPr>
                <w:rFonts w:ascii="Calibri Light" w:eastAsiaTheme="minorHAnsi" w:hAnsi="Calibri Light" w:cs="Calibri Light"/>
                <w:color w:val="000000" w:themeColor="text1"/>
                <w:sz w:val="22"/>
                <w:szCs w:val="22"/>
                <w:lang w:val="ro-RO"/>
              </w:rPr>
              <w:t xml:space="preserve">a </w:t>
            </w:r>
            <w:r>
              <w:rPr>
                <w:rFonts w:ascii="Calibri Light" w:eastAsiaTheme="minorHAnsi" w:hAnsi="Calibri Light" w:cs="Calibri Light"/>
                <w:color w:val="000000" w:themeColor="text1"/>
                <w:sz w:val="22"/>
                <w:szCs w:val="22"/>
                <w:lang w:val="ro-RO"/>
              </w:rPr>
              <w:t>aplicat</w:t>
            </w:r>
            <w:r w:rsidRPr="00D50450">
              <w:rPr>
                <w:rFonts w:ascii="Calibri Light" w:eastAsiaTheme="minorHAnsi" w:hAnsi="Calibri Light" w:cs="Calibri Light"/>
                <w:color w:val="000000" w:themeColor="text1"/>
                <w:sz w:val="22"/>
                <w:szCs w:val="22"/>
                <w:lang w:val="ro-RO"/>
              </w:rPr>
              <w:t xml:space="preserve"> numai în sectorul construcțiilor,</w:t>
            </w:r>
          </w:p>
          <w:p w:rsidR="004449C1" w:rsidRPr="00D50450" w:rsidRDefault="004449C1" w:rsidP="004449C1">
            <w:pPr>
              <w:pStyle w:val="HTMLPreformatted"/>
              <w:numPr>
                <w:ilvl w:val="0"/>
                <w:numId w:val="23"/>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limitarea perioadei de detașare la 12 luni, cu posibilitatea prelungirii acesteia cu 6 luni, pe baza unei notificări justificate prezentată de către un antreprenor autorităților din țările </w:t>
            </w:r>
            <w:r>
              <w:rPr>
                <w:rFonts w:ascii="Calibri Light" w:eastAsiaTheme="minorHAnsi" w:hAnsi="Calibri Light" w:cs="Calibri Light"/>
                <w:color w:val="000000" w:themeColor="text1"/>
                <w:sz w:val="22"/>
                <w:szCs w:val="22"/>
                <w:lang w:val="ro-RO"/>
              </w:rPr>
              <w:t xml:space="preserve">de primire </w:t>
            </w:r>
            <w:r w:rsidRPr="00D50450">
              <w:rPr>
                <w:rFonts w:ascii="Calibri Light" w:eastAsiaTheme="minorHAnsi" w:hAnsi="Calibri Light" w:cs="Calibri Light"/>
                <w:color w:val="000000" w:themeColor="text1"/>
                <w:sz w:val="22"/>
                <w:szCs w:val="22"/>
                <w:lang w:val="ro-RO"/>
              </w:rPr>
              <w:t xml:space="preserve">(după expirarea acestui termen, un </w:t>
            </w:r>
            <w:r>
              <w:rPr>
                <w:rFonts w:ascii="Calibri Light" w:eastAsiaTheme="minorHAnsi" w:hAnsi="Calibri Light" w:cs="Calibri Light"/>
                <w:color w:val="000000" w:themeColor="text1"/>
                <w:sz w:val="22"/>
                <w:szCs w:val="22"/>
                <w:lang w:val="ro-RO"/>
              </w:rPr>
              <w:t>muncitor</w:t>
            </w:r>
            <w:r w:rsidRPr="00D50450">
              <w:rPr>
                <w:rFonts w:ascii="Calibri Light" w:eastAsiaTheme="minorHAnsi" w:hAnsi="Calibri Light" w:cs="Calibri Light"/>
                <w:color w:val="000000" w:themeColor="text1"/>
                <w:sz w:val="22"/>
                <w:szCs w:val="22"/>
                <w:lang w:val="ro-RO"/>
              </w:rPr>
              <w:t xml:space="preserve"> ar </w:t>
            </w:r>
            <w:r>
              <w:rPr>
                <w:rFonts w:ascii="Calibri Light" w:eastAsiaTheme="minorHAnsi" w:hAnsi="Calibri Light" w:cs="Calibri Light"/>
                <w:color w:val="000000" w:themeColor="text1"/>
                <w:sz w:val="22"/>
                <w:szCs w:val="22"/>
                <w:lang w:val="ro-RO"/>
              </w:rPr>
              <w:t xml:space="preserve">putea </w:t>
            </w:r>
            <w:r w:rsidRPr="00D50450">
              <w:rPr>
                <w:rFonts w:ascii="Calibri Light" w:eastAsiaTheme="minorHAnsi" w:hAnsi="Calibri Light" w:cs="Calibri Light"/>
                <w:color w:val="000000" w:themeColor="text1"/>
                <w:sz w:val="22"/>
                <w:szCs w:val="22"/>
                <w:lang w:val="ro-RO"/>
              </w:rPr>
              <w:t xml:space="preserve"> să rămână în continuare și să lucreze într-un stat </w:t>
            </w:r>
            <w:r w:rsidRPr="00D50450">
              <w:rPr>
                <w:rFonts w:ascii="Calibri Light" w:eastAsiaTheme="minorHAnsi" w:hAnsi="Calibri Light" w:cs="Calibri Light"/>
                <w:color w:val="000000" w:themeColor="text1"/>
                <w:sz w:val="22"/>
                <w:szCs w:val="22"/>
                <w:lang w:val="ro-RO"/>
              </w:rPr>
              <w:lastRenderedPageBreak/>
              <w:t xml:space="preserve">membru în care a fost detașat, însă ar fi supus condițiilor conforme cu legislația muncii din țara </w:t>
            </w:r>
            <w:r>
              <w:rPr>
                <w:rFonts w:ascii="Calibri Light" w:eastAsiaTheme="minorHAnsi" w:hAnsi="Calibri Light" w:cs="Calibri Light"/>
                <w:color w:val="000000" w:themeColor="text1"/>
                <w:sz w:val="22"/>
                <w:szCs w:val="22"/>
                <w:lang w:val="ro-RO"/>
              </w:rPr>
              <w:t>de primire</w:t>
            </w:r>
            <w:r w:rsidRPr="00D50450">
              <w:rPr>
                <w:rFonts w:ascii="Calibri Light" w:eastAsiaTheme="minorHAnsi" w:hAnsi="Calibri Light" w:cs="Calibri Light"/>
                <w:color w:val="000000" w:themeColor="text1"/>
                <w:sz w:val="22"/>
                <w:szCs w:val="22"/>
                <w:lang w:val="ro-RO"/>
              </w:rPr>
              <w:t xml:space="preserve"> - și în ceea ce privește </w:t>
            </w:r>
            <w:r>
              <w:rPr>
                <w:rFonts w:ascii="Calibri Light" w:eastAsiaTheme="minorHAnsi" w:hAnsi="Calibri Light" w:cs="Calibri Light"/>
                <w:color w:val="000000" w:themeColor="text1"/>
                <w:sz w:val="22"/>
                <w:szCs w:val="22"/>
                <w:lang w:val="ro-RO"/>
              </w:rPr>
              <w:t>asigurările</w:t>
            </w:r>
            <w:r w:rsidRPr="00D50450">
              <w:rPr>
                <w:rFonts w:ascii="Calibri Light" w:eastAsiaTheme="minorHAnsi" w:hAnsi="Calibri Light" w:cs="Calibri Light"/>
                <w:color w:val="000000" w:themeColor="text1"/>
                <w:sz w:val="22"/>
                <w:szCs w:val="22"/>
                <w:lang w:val="ro-RO"/>
              </w:rPr>
              <w:t xml:space="preserve"> social</w:t>
            </w:r>
            <w:r>
              <w:rPr>
                <w:rFonts w:ascii="Calibri Light" w:eastAsiaTheme="minorHAnsi" w:hAnsi="Calibri Light" w:cs="Calibri Light"/>
                <w:color w:val="000000" w:themeColor="text1"/>
                <w:sz w:val="22"/>
                <w:szCs w:val="22"/>
                <w:lang w:val="ro-RO"/>
              </w:rPr>
              <w:t>e</w:t>
            </w:r>
            <w:r w:rsidRPr="00D50450">
              <w:rPr>
                <w:rFonts w:ascii="Calibri Light" w:eastAsiaTheme="minorHAnsi" w:hAnsi="Calibri Light" w:cs="Calibri Light"/>
                <w:color w:val="000000" w:themeColor="text1"/>
                <w:sz w:val="22"/>
                <w:szCs w:val="22"/>
                <w:lang w:val="ro-RO"/>
              </w:rPr>
              <w:t>).</w:t>
            </w:r>
          </w:p>
          <w:p w:rsidR="004449C1" w:rsidRPr="00D50450" w:rsidRDefault="004449C1" w:rsidP="004449C1">
            <w:pPr>
              <w:jc w:val="both"/>
              <w:rPr>
                <w:rFonts w:ascii="Calibri Light" w:hAnsi="Calibri Light" w:cs="Calibri Light"/>
                <w:color w:val="000000" w:themeColor="text1"/>
                <w:lang w:val="ro-RO"/>
              </w:rPr>
            </w:pPr>
          </w:p>
          <w:p w:rsidR="004449C1" w:rsidRPr="00D50450" w:rsidRDefault="004449C1" w:rsidP="004449C1">
            <w:pPr>
              <w:pStyle w:val="HTMLPreformatted"/>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          Conform noii directive, statele membre adoptă și publică până la 30 iulie 2020 orice reglementări statutare, executive și administrative necesare executării dispozițiilor sale.</w:t>
            </w:r>
          </w:p>
          <w:p w:rsidR="004449C1" w:rsidRPr="00D50450" w:rsidRDefault="004449C1" w:rsidP="004449C1">
            <w:pPr>
              <w:pStyle w:val="HTMLPreformatted"/>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           În ciuda multor obiecții, în special din partea țărilor din Europa de Est care se tem că soluțiile sugerate vor duce la creșterea costurilor angajatorilor, noile reglementări reflectă realitatea socială, economică și politică a Uniunii Europene. Acestea determină o cale către o Europă mai socială, în care companiile să concureze într-un mod mai </w:t>
            </w:r>
            <w:r>
              <w:rPr>
                <w:rFonts w:ascii="Calibri Light" w:eastAsiaTheme="minorHAnsi" w:hAnsi="Calibri Light" w:cs="Calibri Light"/>
                <w:color w:val="000000" w:themeColor="text1"/>
                <w:sz w:val="22"/>
                <w:szCs w:val="22"/>
                <w:lang w:val="ro-RO"/>
              </w:rPr>
              <w:t>loial</w:t>
            </w:r>
            <w:r w:rsidRPr="00D50450">
              <w:rPr>
                <w:rFonts w:ascii="Calibri Light" w:eastAsiaTheme="minorHAnsi" w:hAnsi="Calibri Light" w:cs="Calibri Light"/>
                <w:color w:val="000000" w:themeColor="text1"/>
                <w:sz w:val="22"/>
                <w:szCs w:val="22"/>
                <w:lang w:val="ro-RO"/>
              </w:rPr>
              <w:t xml:space="preserve">, iar angajații să aibă drepturi mai bune. Fără îndoială, aceste reglementări vor limita așa-numitul </w:t>
            </w:r>
            <w:r w:rsidRPr="0038065D">
              <w:rPr>
                <w:rFonts w:ascii="Calibri Light" w:eastAsiaTheme="minorHAnsi" w:hAnsi="Calibri Light" w:cs="Calibri Light"/>
                <w:i/>
                <w:color w:val="000000" w:themeColor="text1"/>
                <w:sz w:val="22"/>
                <w:szCs w:val="22"/>
                <w:lang w:val="ro-RO"/>
              </w:rPr>
              <w:t>dumping</w:t>
            </w:r>
            <w:r w:rsidRPr="00D50450">
              <w:rPr>
                <w:rFonts w:ascii="Calibri Light" w:eastAsiaTheme="minorHAnsi" w:hAnsi="Calibri Light" w:cs="Calibri Light"/>
                <w:color w:val="000000" w:themeColor="text1"/>
                <w:sz w:val="22"/>
                <w:szCs w:val="22"/>
                <w:lang w:val="ro-RO"/>
              </w:rPr>
              <w:t xml:space="preserve"> social și vor pune de asemenea capăt operațiunilor "companiilor cu cutie de scrisori".</w:t>
            </w:r>
          </w:p>
          <w:p w:rsidR="004449C1" w:rsidRPr="00D50450" w:rsidRDefault="004449C1" w:rsidP="004449C1">
            <w:pPr>
              <w:jc w:val="both"/>
              <w:rPr>
                <w:rFonts w:ascii="Calibri Light" w:hAnsi="Calibri Light" w:cs="Calibri Light"/>
                <w:color w:val="000000" w:themeColor="text1"/>
                <w:lang w:val="ro-RO"/>
              </w:rPr>
            </w:pPr>
          </w:p>
          <w:p w:rsidR="004449C1" w:rsidRPr="00D50450" w:rsidRDefault="004449C1" w:rsidP="004449C1">
            <w:pPr>
              <w:jc w:val="center"/>
              <w:rPr>
                <w:rFonts w:ascii="Calibri Light" w:hAnsi="Calibri Light" w:cs="Calibri Light"/>
                <w:b/>
                <w:bCs/>
                <w:i/>
                <w:iCs/>
                <w:color w:val="000000" w:themeColor="text1"/>
                <w:lang w:val="ro-RO"/>
              </w:rPr>
            </w:pPr>
            <w:r>
              <w:rPr>
                <w:rFonts w:ascii="Calibri Light" w:hAnsi="Calibri Light" w:cs="Calibri Light"/>
                <w:b/>
                <w:bCs/>
                <w:i/>
                <w:iCs/>
                <w:color w:val="000000" w:themeColor="text1"/>
                <w:lang w:val="ro-RO"/>
              </w:rPr>
              <w:t>Asigurarea socială în detașarea forţei de muncă</w:t>
            </w:r>
          </w:p>
          <w:p w:rsidR="004449C1" w:rsidRPr="00D50450" w:rsidRDefault="004449C1" w:rsidP="004449C1">
            <w:pPr>
              <w:jc w:val="both"/>
              <w:rPr>
                <w:rFonts w:ascii="Calibri Light" w:hAnsi="Calibri Light" w:cs="Calibri Light"/>
                <w:color w:val="000000" w:themeColor="text1"/>
                <w:lang w:val="ro-RO"/>
              </w:rPr>
            </w:pPr>
          </w:p>
          <w:p w:rsidR="004449C1" w:rsidRPr="00D50450" w:rsidRDefault="004449C1" w:rsidP="004449C1">
            <w:p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Un grup important sunt, de asemenea, reglementările privind problema coordonării sistemelor de </w:t>
            </w:r>
            <w:r>
              <w:rPr>
                <w:rFonts w:ascii="Calibri Light" w:hAnsi="Calibri Light" w:cs="Calibri Light"/>
                <w:color w:val="000000" w:themeColor="text1"/>
                <w:lang w:val="ro-RO"/>
              </w:rPr>
              <w:t>asigurare</w:t>
            </w:r>
            <w:r w:rsidRPr="00D50450">
              <w:rPr>
                <w:rFonts w:ascii="Calibri Light" w:hAnsi="Calibri Light" w:cs="Calibri Light"/>
                <w:color w:val="000000" w:themeColor="text1"/>
                <w:lang w:val="ro-RO"/>
              </w:rPr>
              <w:t xml:space="preserve"> socială: </w:t>
            </w:r>
          </w:p>
          <w:p w:rsidR="004449C1" w:rsidRPr="00D50450" w:rsidRDefault="004449C1" w:rsidP="004449C1">
            <w:pPr>
              <w:pStyle w:val="ListParagraph"/>
              <w:numPr>
                <w:ilvl w:val="0"/>
                <w:numId w:val="24"/>
              </w:num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Regulamentul (CE) nr. 883/2004 al Parlamentului European și al Consiliului din 24 aprilie 2004 privind coordonarea sistemelor de </w:t>
            </w:r>
            <w:r>
              <w:rPr>
                <w:rFonts w:ascii="Calibri Light" w:hAnsi="Calibri Light" w:cs="Calibri Light"/>
                <w:color w:val="000000" w:themeColor="text1"/>
                <w:lang w:val="ro-RO"/>
              </w:rPr>
              <w:t>asigurări</w:t>
            </w:r>
            <w:r w:rsidRPr="00D50450">
              <w:rPr>
                <w:rFonts w:ascii="Calibri Light" w:hAnsi="Calibri Light" w:cs="Calibri Light"/>
                <w:color w:val="000000" w:themeColor="text1"/>
                <w:lang w:val="ro-RO"/>
              </w:rPr>
              <w:t xml:space="preserve"> social</w:t>
            </w:r>
            <w:r>
              <w:rPr>
                <w:rFonts w:ascii="Calibri Light" w:hAnsi="Calibri Light" w:cs="Calibri Light"/>
                <w:color w:val="000000" w:themeColor="text1"/>
                <w:lang w:val="ro-RO"/>
              </w:rPr>
              <w:t>e</w:t>
            </w:r>
            <w:r w:rsidRPr="00DD60E7">
              <w:rPr>
                <w:rStyle w:val="FootnoteReference"/>
                <w:rFonts w:ascii="Calibri Light" w:hAnsi="Calibri Light" w:cs="Calibri Light"/>
                <w:color w:val="FF0000"/>
                <w:lang w:val="en-GB"/>
              </w:rPr>
              <w:footnoteReference w:id="3"/>
            </w:r>
            <w:r w:rsidRPr="00DD60E7">
              <w:rPr>
                <w:rFonts w:ascii="Calibri Light" w:hAnsi="Calibri Light" w:cs="Calibri Light"/>
                <w:color w:val="FF0000"/>
                <w:lang w:val="es-ES_tradnl"/>
              </w:rPr>
              <w:t>,</w:t>
            </w:r>
          </w:p>
          <w:p w:rsidR="004449C1" w:rsidRPr="00D50450" w:rsidRDefault="004449C1" w:rsidP="004449C1">
            <w:pPr>
              <w:pStyle w:val="ListParagraph"/>
              <w:numPr>
                <w:ilvl w:val="0"/>
                <w:numId w:val="24"/>
              </w:num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Regulamentul (CE) nr. 987/2009 al Parlamentului European și al Consiliului din 16 septembrie 2009 de stabilire a procedurii de punere în aplicare a Regulamentului (CE) nr. 883/2004 privind coordonarea sistemelor de </w:t>
            </w:r>
            <w:r>
              <w:rPr>
                <w:rFonts w:ascii="Calibri Light" w:hAnsi="Calibri Light" w:cs="Calibri Light"/>
                <w:color w:val="000000" w:themeColor="text1"/>
                <w:lang w:val="ro-RO"/>
              </w:rPr>
              <w:t xml:space="preserve"> asigurări</w:t>
            </w:r>
            <w:r w:rsidRPr="00D50450">
              <w:rPr>
                <w:rFonts w:ascii="Calibri Light" w:hAnsi="Calibri Light" w:cs="Calibri Light"/>
                <w:color w:val="000000" w:themeColor="text1"/>
                <w:lang w:val="ro-RO"/>
              </w:rPr>
              <w:t xml:space="preserve"> social</w:t>
            </w:r>
            <w:r>
              <w:rPr>
                <w:rFonts w:ascii="Calibri Light" w:hAnsi="Calibri Light" w:cs="Calibri Light"/>
                <w:color w:val="000000" w:themeColor="text1"/>
                <w:lang w:val="ro-RO"/>
              </w:rPr>
              <w:t>e</w:t>
            </w:r>
            <w:r w:rsidRPr="00CB0EC5">
              <w:rPr>
                <w:rStyle w:val="FootnoteReference"/>
                <w:rFonts w:ascii="Calibri Light" w:hAnsi="Calibri Light" w:cs="Calibri Light"/>
                <w:color w:val="FF0000"/>
                <w:lang w:val="en-GB"/>
              </w:rPr>
              <w:footnoteReference w:id="4"/>
            </w:r>
            <w:r w:rsidRPr="00CB0EC5">
              <w:rPr>
                <w:rFonts w:ascii="Calibri Light" w:hAnsi="Calibri Light" w:cs="Calibri Light"/>
                <w:color w:val="FF0000"/>
                <w:lang w:val="es-ES_tradnl"/>
              </w:rPr>
              <w:t>.</w:t>
            </w:r>
            <w:r w:rsidRPr="00D50450">
              <w:rPr>
                <w:rFonts w:ascii="Calibri Light" w:hAnsi="Calibri Light" w:cs="Calibri Light"/>
                <w:color w:val="000000" w:themeColor="text1"/>
                <w:lang w:val="ro-RO"/>
              </w:rPr>
              <w:t xml:space="preserve"> </w:t>
            </w:r>
          </w:p>
          <w:p w:rsidR="004449C1" w:rsidRPr="00D50450" w:rsidRDefault="004449C1" w:rsidP="004449C1">
            <w:pPr>
              <w:ind w:firstLine="70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În acest moment, trebuie subliniat faptul că majoritatea reglementărilor privind </w:t>
            </w:r>
            <w:r>
              <w:rPr>
                <w:rFonts w:ascii="Calibri Light" w:hAnsi="Calibri Light" w:cs="Calibri Light"/>
                <w:color w:val="000000" w:themeColor="text1"/>
                <w:lang w:val="ro-RO"/>
              </w:rPr>
              <w:t xml:space="preserve"> asigurările</w:t>
            </w:r>
            <w:r w:rsidRPr="00D50450">
              <w:rPr>
                <w:rFonts w:ascii="Calibri Light" w:hAnsi="Calibri Light" w:cs="Calibri Light"/>
                <w:color w:val="000000" w:themeColor="text1"/>
                <w:lang w:val="ro-RO"/>
              </w:rPr>
              <w:t xml:space="preserve"> social</w:t>
            </w:r>
            <w:r>
              <w:rPr>
                <w:rFonts w:ascii="Calibri Light" w:hAnsi="Calibri Light" w:cs="Calibri Light"/>
                <w:color w:val="000000" w:themeColor="text1"/>
                <w:lang w:val="ro-RO"/>
              </w:rPr>
              <w:t>e</w:t>
            </w:r>
            <w:r w:rsidRPr="00D50450">
              <w:rPr>
                <w:rFonts w:ascii="Calibri Light" w:hAnsi="Calibri Light" w:cs="Calibri Light"/>
                <w:color w:val="000000" w:themeColor="text1"/>
                <w:lang w:val="ro-RO"/>
              </w:rPr>
              <w:t xml:space="preserve"> (de exemplu determinarea primelor de </w:t>
            </w:r>
            <w:r>
              <w:rPr>
                <w:rFonts w:ascii="Calibri Light" w:hAnsi="Calibri Light" w:cs="Calibri Light"/>
                <w:color w:val="000000" w:themeColor="text1"/>
                <w:lang w:val="ro-RO"/>
              </w:rPr>
              <w:t>asigurare</w:t>
            </w:r>
            <w:r w:rsidRPr="00D50450">
              <w:rPr>
                <w:rFonts w:ascii="Calibri Light" w:hAnsi="Calibri Light" w:cs="Calibri Light"/>
                <w:color w:val="000000" w:themeColor="text1"/>
                <w:lang w:val="ro-RO"/>
              </w:rPr>
              <w:t xml:space="preserve"> socială) rămân în regulamentele aplicabile pieței muncii sursă a </w:t>
            </w:r>
            <w:r>
              <w:rPr>
                <w:rFonts w:ascii="Calibri Light" w:hAnsi="Calibri Light" w:cs="Calibri Light"/>
                <w:color w:val="000000" w:themeColor="text1"/>
                <w:lang w:val="ro-RO"/>
              </w:rPr>
              <w:t>persoanei</w:t>
            </w:r>
            <w:r w:rsidRPr="00D50450">
              <w:rPr>
                <w:rFonts w:ascii="Calibri Light" w:hAnsi="Calibri Light" w:cs="Calibri Light"/>
                <w:color w:val="000000" w:themeColor="text1"/>
                <w:lang w:val="ro-RO"/>
              </w:rPr>
              <w:t xml:space="preserve"> detașat</w:t>
            </w:r>
            <w:r>
              <w:rPr>
                <w:rFonts w:ascii="Calibri Light" w:hAnsi="Calibri Light" w:cs="Calibri Light"/>
                <w:color w:val="000000" w:themeColor="text1"/>
                <w:lang w:val="ro-RO"/>
              </w:rPr>
              <w:t>e</w:t>
            </w:r>
            <w:r w:rsidRPr="00D50450">
              <w:rPr>
                <w:rFonts w:ascii="Calibri Light" w:hAnsi="Calibri Light" w:cs="Calibri Light"/>
                <w:color w:val="000000" w:themeColor="text1"/>
                <w:lang w:val="ro-RO"/>
              </w:rPr>
              <w:t xml:space="preserve">. Acest lucru permite evitarea situației de a se supune în același timp </w:t>
            </w:r>
            <w:r>
              <w:rPr>
                <w:rFonts w:ascii="Calibri Light" w:hAnsi="Calibri Light" w:cs="Calibri Light"/>
                <w:color w:val="000000" w:themeColor="text1"/>
                <w:lang w:val="ro-RO"/>
              </w:rPr>
              <w:t>prevederilor din două sisteme</w:t>
            </w:r>
            <w:r w:rsidRPr="00D50450">
              <w:rPr>
                <w:rFonts w:ascii="Calibri Light" w:hAnsi="Calibri Light" w:cs="Calibri Light"/>
                <w:color w:val="000000" w:themeColor="text1"/>
                <w:lang w:val="ro-RO"/>
              </w:rPr>
              <w:t xml:space="preserve"> de </w:t>
            </w:r>
            <w:r>
              <w:rPr>
                <w:rFonts w:ascii="Calibri Light" w:hAnsi="Calibri Light" w:cs="Calibri Light"/>
                <w:color w:val="000000" w:themeColor="text1"/>
                <w:lang w:val="ro-RO"/>
              </w:rPr>
              <w:t>asigurare</w:t>
            </w:r>
            <w:r w:rsidRPr="00D50450">
              <w:rPr>
                <w:rFonts w:ascii="Calibri Light" w:hAnsi="Calibri Light" w:cs="Calibri Light"/>
                <w:color w:val="000000" w:themeColor="text1"/>
                <w:lang w:val="ro-RO"/>
              </w:rPr>
              <w:t xml:space="preserve"> socială sau situației în care </w:t>
            </w:r>
            <w:r>
              <w:rPr>
                <w:rFonts w:ascii="Calibri Light" w:hAnsi="Calibri Light" w:cs="Calibri Light"/>
                <w:color w:val="000000" w:themeColor="text1"/>
                <w:lang w:val="ro-RO"/>
              </w:rPr>
              <w:t>o persoană</w:t>
            </w:r>
            <w:r w:rsidRPr="00D50450">
              <w:rPr>
                <w:rFonts w:ascii="Calibri Light" w:hAnsi="Calibri Light" w:cs="Calibri Light"/>
                <w:color w:val="000000" w:themeColor="text1"/>
                <w:lang w:val="ro-RO"/>
              </w:rPr>
              <w:t xml:space="preserve"> nu este </w:t>
            </w:r>
            <w:r>
              <w:rPr>
                <w:rFonts w:ascii="Calibri Light" w:hAnsi="Calibri Light" w:cs="Calibri Light"/>
                <w:color w:val="000000" w:themeColor="text1"/>
                <w:lang w:val="ro-RO"/>
              </w:rPr>
              <w:t>inclusă în</w:t>
            </w:r>
            <w:r w:rsidRPr="00D50450">
              <w:rPr>
                <w:rFonts w:ascii="Calibri Light" w:hAnsi="Calibri Light" w:cs="Calibri Light"/>
                <w:color w:val="000000" w:themeColor="text1"/>
                <w:lang w:val="ro-RO"/>
              </w:rPr>
              <w:t xml:space="preserve"> niciunui sistem, ceea ce ar lipsi </w:t>
            </w:r>
            <w:r>
              <w:rPr>
                <w:rFonts w:ascii="Calibri Light" w:hAnsi="Calibri Light" w:cs="Calibri Light"/>
                <w:color w:val="000000" w:themeColor="text1"/>
                <w:lang w:val="ro-RO"/>
              </w:rPr>
              <w:t>o</w:t>
            </w:r>
            <w:r w:rsidRPr="00D50450">
              <w:rPr>
                <w:rFonts w:ascii="Calibri Light" w:hAnsi="Calibri Light" w:cs="Calibri Light"/>
                <w:color w:val="000000" w:themeColor="text1"/>
                <w:lang w:val="ro-RO"/>
              </w:rPr>
              <w:t xml:space="preserve"> astfel de </w:t>
            </w:r>
            <w:r>
              <w:rPr>
                <w:rFonts w:ascii="Calibri Light" w:hAnsi="Calibri Light" w:cs="Calibri Light"/>
                <w:color w:val="000000" w:themeColor="text1"/>
                <w:lang w:val="ro-RO"/>
              </w:rPr>
              <w:t>persoană</w:t>
            </w:r>
            <w:r w:rsidRPr="00D50450">
              <w:rPr>
                <w:rFonts w:ascii="Calibri Light" w:hAnsi="Calibri Light" w:cs="Calibri Light"/>
                <w:color w:val="000000" w:themeColor="text1"/>
                <w:lang w:val="ro-RO"/>
              </w:rPr>
              <w:t xml:space="preserve"> de avantajele corespunzătoare.</w:t>
            </w:r>
          </w:p>
          <w:p w:rsidR="004449C1" w:rsidRPr="00D50450" w:rsidRDefault="004449C1" w:rsidP="004449C1">
            <w:pPr>
              <w:jc w:val="both"/>
              <w:rPr>
                <w:rFonts w:ascii="Calibri Light" w:hAnsi="Calibri Light" w:cs="Calibri Light"/>
                <w:color w:val="000000" w:themeColor="text1"/>
                <w:lang w:val="ro-RO"/>
              </w:rPr>
            </w:pPr>
          </w:p>
          <w:p w:rsidR="004449C1" w:rsidRPr="00D50450" w:rsidRDefault="004449C1" w:rsidP="004449C1">
            <w:pPr>
              <w:ind w:firstLine="360"/>
              <w:jc w:val="center"/>
              <w:rPr>
                <w:rFonts w:ascii="Calibri Light" w:hAnsi="Calibri Light" w:cs="Calibri Light"/>
                <w:b/>
                <w:i/>
                <w:color w:val="000000" w:themeColor="text1"/>
                <w:lang w:val="ro-RO"/>
              </w:rPr>
            </w:pPr>
            <w:r w:rsidRPr="00D50450">
              <w:rPr>
                <w:rFonts w:ascii="Calibri Light" w:hAnsi="Calibri Light" w:cs="Calibri Light"/>
                <w:b/>
                <w:i/>
                <w:color w:val="000000" w:themeColor="text1"/>
                <w:lang w:val="ro-RO"/>
              </w:rPr>
              <w:t>Impozitul pe venit în detașare</w:t>
            </w:r>
            <w:r>
              <w:rPr>
                <w:rFonts w:ascii="Calibri Light" w:hAnsi="Calibri Light" w:cs="Calibri Light"/>
                <w:b/>
                <w:i/>
                <w:color w:val="000000" w:themeColor="text1"/>
                <w:lang w:val="ro-RO"/>
              </w:rPr>
              <w:t>a forţei de muncă</w:t>
            </w:r>
          </w:p>
          <w:p w:rsidR="004449C1" w:rsidRPr="00D50450" w:rsidRDefault="004449C1" w:rsidP="004449C1">
            <w:pPr>
              <w:jc w:val="both"/>
              <w:rPr>
                <w:rFonts w:ascii="Calibri Light" w:hAnsi="Calibri Light" w:cs="Calibri Light"/>
                <w:color w:val="000000" w:themeColor="text1"/>
                <w:lang w:val="ro-RO"/>
              </w:rPr>
            </w:pPr>
          </w:p>
          <w:p w:rsidR="004449C1" w:rsidRPr="00D50450" w:rsidRDefault="004449C1" w:rsidP="004449C1">
            <w:pPr>
              <w:ind w:firstLine="70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Legislația UE nu include reglementări separate care să stabilească țările care ar trebui să colecteze impozitul pe venit în timpul desfăș</w:t>
            </w:r>
            <w:r>
              <w:rPr>
                <w:rFonts w:ascii="Calibri Light" w:hAnsi="Calibri Light" w:cs="Calibri Light"/>
                <w:color w:val="000000" w:themeColor="text1"/>
                <w:lang w:val="ro-RO"/>
              </w:rPr>
              <w:t xml:space="preserve">urării activității de către o persoană </w:t>
            </w:r>
            <w:r w:rsidRPr="00D50450">
              <w:rPr>
                <w:rFonts w:ascii="Calibri Light" w:hAnsi="Calibri Light" w:cs="Calibri Light"/>
                <w:color w:val="000000" w:themeColor="text1"/>
                <w:lang w:val="ro-RO"/>
              </w:rPr>
              <w:t>detașat</w:t>
            </w:r>
            <w:r>
              <w:rPr>
                <w:rFonts w:ascii="Calibri Light" w:hAnsi="Calibri Light" w:cs="Calibri Light"/>
                <w:color w:val="000000" w:themeColor="text1"/>
                <w:lang w:val="ro-RO"/>
              </w:rPr>
              <w:t>ă</w:t>
            </w:r>
            <w:r w:rsidRPr="00D50450">
              <w:rPr>
                <w:rFonts w:ascii="Calibri Light" w:hAnsi="Calibri Light" w:cs="Calibri Light"/>
                <w:color w:val="000000" w:themeColor="text1"/>
                <w:lang w:val="ro-RO"/>
              </w:rPr>
              <w:t>. În general, o astfel de situație este definită de</w:t>
            </w:r>
            <w:r>
              <w:rPr>
                <w:rFonts w:ascii="Calibri Light" w:hAnsi="Calibri Light" w:cs="Calibri Light"/>
                <w:color w:val="000000" w:themeColor="text1"/>
                <w:lang w:val="ro-RO"/>
              </w:rPr>
              <w:t xml:space="preserve"> acordurile privind impozitarea</w:t>
            </w:r>
            <w:r w:rsidRPr="00D50450">
              <w:rPr>
                <w:rFonts w:ascii="Calibri Light" w:hAnsi="Calibri Light" w:cs="Calibri Light"/>
                <w:color w:val="000000" w:themeColor="text1"/>
                <w:lang w:val="ro-RO"/>
              </w:rPr>
              <w:t xml:space="preserve"> încheiate între anumite țări din UE (evitând așa-numita dublă impunere) sau reglementările fiscale interne ale unei țări. </w:t>
            </w:r>
          </w:p>
          <w:p w:rsidR="004449C1" w:rsidRPr="00D50450" w:rsidRDefault="004449C1" w:rsidP="004449C1">
            <w:pPr>
              <w:ind w:firstLine="702"/>
              <w:jc w:val="both"/>
              <w:rPr>
                <w:rFonts w:ascii="Calibri Light" w:hAnsi="Calibri Light" w:cs="Calibri Light"/>
                <w:color w:val="000000" w:themeColor="text1"/>
                <w:lang w:val="ro-RO"/>
              </w:rPr>
            </w:pPr>
          </w:p>
          <w:p w:rsidR="004449C1" w:rsidRPr="00D50450" w:rsidRDefault="004449C1" w:rsidP="004449C1">
            <w:pPr>
              <w:ind w:firstLine="360"/>
              <w:jc w:val="center"/>
              <w:rPr>
                <w:rFonts w:ascii="Calibri Light" w:hAnsi="Calibri Light" w:cs="Calibri Light"/>
                <w:b/>
                <w:bCs/>
                <w:color w:val="000000" w:themeColor="text1"/>
                <w:lang w:val="ro-RO"/>
              </w:rPr>
            </w:pPr>
            <w:r w:rsidRPr="00D50450">
              <w:rPr>
                <w:rFonts w:ascii="Calibri Light" w:hAnsi="Calibri Light" w:cs="Calibri Light"/>
                <w:b/>
                <w:bCs/>
                <w:color w:val="000000" w:themeColor="text1"/>
                <w:lang w:val="ro-RO"/>
              </w:rPr>
              <w:t xml:space="preserve">IV. </w:t>
            </w:r>
          </w:p>
          <w:p w:rsidR="004449C1" w:rsidRPr="00592698" w:rsidRDefault="004449C1" w:rsidP="004449C1">
            <w:pPr>
              <w:ind w:firstLine="360"/>
              <w:jc w:val="center"/>
              <w:rPr>
                <w:rFonts w:ascii="Calibri Light" w:hAnsi="Calibri Light" w:cs="Calibri Light"/>
                <w:b/>
                <w:bCs/>
                <w:i/>
                <w:color w:val="000000" w:themeColor="text1"/>
                <w:lang w:val="ro-RO"/>
              </w:rPr>
            </w:pPr>
            <w:r w:rsidRPr="00592698">
              <w:rPr>
                <w:rFonts w:ascii="Calibri Light" w:hAnsi="Calibri Light" w:cs="Calibri Light"/>
                <w:b/>
                <w:bCs/>
                <w:i/>
                <w:color w:val="000000" w:themeColor="text1"/>
                <w:lang w:val="ro-RO"/>
              </w:rPr>
              <w:t xml:space="preserve">Drepturi fundamentale ale unui angajat detașat </w:t>
            </w:r>
          </w:p>
          <w:p w:rsidR="004449C1" w:rsidRPr="00D50450" w:rsidRDefault="004449C1" w:rsidP="004449C1">
            <w:pPr>
              <w:ind w:firstLine="702"/>
              <w:jc w:val="both"/>
              <w:rPr>
                <w:rFonts w:ascii="Calibri Light" w:hAnsi="Calibri Light" w:cs="Calibri Light"/>
                <w:color w:val="000000" w:themeColor="text1"/>
                <w:lang w:val="ro-RO"/>
              </w:rPr>
            </w:pPr>
          </w:p>
          <w:p w:rsidR="004449C1" w:rsidRPr="00D50450" w:rsidRDefault="004449C1" w:rsidP="004449C1">
            <w:pPr>
              <w:ind w:firstLine="70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În conformitate cu art. 3 din directivă, statele membre garantează condiții specifice de angajare pentru </w:t>
            </w:r>
            <w:r>
              <w:rPr>
                <w:rFonts w:ascii="Calibri Light" w:hAnsi="Calibri Light" w:cs="Calibri Light"/>
                <w:color w:val="000000" w:themeColor="text1"/>
                <w:lang w:val="ro-RO"/>
              </w:rPr>
              <w:t>angajaţii</w:t>
            </w:r>
            <w:r w:rsidRPr="00D50450">
              <w:rPr>
                <w:rFonts w:ascii="Calibri Light" w:hAnsi="Calibri Light" w:cs="Calibri Light"/>
                <w:color w:val="000000" w:themeColor="text1"/>
                <w:lang w:val="ro-RO"/>
              </w:rPr>
              <w:t xml:space="preserve"> detașați pe teritoriul lor, în măsura în care aceste condiții sunt mai avantajoase decât condițiile actuale de angajare ale unui </w:t>
            </w:r>
            <w:r>
              <w:rPr>
                <w:rFonts w:ascii="Calibri Light" w:hAnsi="Calibri Light" w:cs="Calibri Light"/>
                <w:color w:val="000000" w:themeColor="text1"/>
                <w:lang w:val="ro-RO"/>
              </w:rPr>
              <w:t>angajat</w:t>
            </w:r>
            <w:r w:rsidRPr="00D50450">
              <w:rPr>
                <w:rFonts w:ascii="Calibri Light" w:hAnsi="Calibri Light" w:cs="Calibri Light"/>
                <w:color w:val="000000" w:themeColor="text1"/>
                <w:lang w:val="ro-RO"/>
              </w:rPr>
              <w:t xml:space="preserve"> detașat. Aceste condiții se aplică:</w:t>
            </w:r>
          </w:p>
          <w:p w:rsidR="004449C1" w:rsidRPr="00D50450" w:rsidRDefault="004449C1" w:rsidP="004449C1">
            <w:pPr>
              <w:jc w:val="both"/>
              <w:rPr>
                <w:rFonts w:ascii="Calibri Light" w:hAnsi="Calibri Light" w:cs="Calibri Light"/>
                <w:color w:val="000000" w:themeColor="text1"/>
                <w:lang w:val="ro-RO"/>
              </w:rPr>
            </w:pPr>
          </w:p>
          <w:p w:rsidR="004449C1" w:rsidRPr="00D50450" w:rsidRDefault="004449C1" w:rsidP="004449C1">
            <w:pPr>
              <w:pStyle w:val="HTMLPreformatted"/>
              <w:numPr>
                <w:ilvl w:val="0"/>
                <w:numId w:val="25"/>
              </w:numPr>
              <w:shd w:val="clear" w:color="auto" w:fill="FFFFFF"/>
              <w:jc w:val="both"/>
              <w:rPr>
                <w:rFonts w:ascii="Calibri Light" w:eastAsiaTheme="minorHAnsi" w:hAnsi="Calibri Light" w:cs="Calibri Light"/>
                <w:color w:val="000000" w:themeColor="text1"/>
                <w:sz w:val="22"/>
                <w:szCs w:val="22"/>
                <w:lang w:val="ro-RO"/>
              </w:rPr>
            </w:pPr>
            <w:r>
              <w:rPr>
                <w:rFonts w:ascii="Calibri Light" w:eastAsiaTheme="minorHAnsi" w:hAnsi="Calibri Light" w:cs="Calibri Light"/>
                <w:color w:val="000000" w:themeColor="text1"/>
                <w:sz w:val="22"/>
                <w:szCs w:val="22"/>
                <w:lang w:val="ro-RO"/>
              </w:rPr>
              <w:t xml:space="preserve">Pentru </w:t>
            </w:r>
            <w:r w:rsidRPr="00D50450">
              <w:rPr>
                <w:rFonts w:ascii="Calibri Light" w:eastAsiaTheme="minorHAnsi" w:hAnsi="Calibri Light" w:cs="Calibri Light"/>
                <w:color w:val="000000" w:themeColor="text1"/>
                <w:sz w:val="22"/>
                <w:szCs w:val="22"/>
                <w:lang w:val="ro-RO"/>
              </w:rPr>
              <w:t>perioade maxime de lucru și perioade minime de odihnă.</w:t>
            </w:r>
          </w:p>
          <w:p w:rsidR="004449C1" w:rsidRPr="00D50450" w:rsidRDefault="004449C1" w:rsidP="004449C1">
            <w:pPr>
              <w:pStyle w:val="HTMLPreformatted"/>
              <w:shd w:val="clear" w:color="auto" w:fill="FFFFFF"/>
              <w:ind w:left="720"/>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Aceasta se aplică în special orelor de </w:t>
            </w:r>
            <w:r>
              <w:rPr>
                <w:rFonts w:ascii="Calibri Light" w:eastAsiaTheme="minorHAnsi" w:hAnsi="Calibri Light" w:cs="Calibri Light"/>
                <w:color w:val="000000" w:themeColor="text1"/>
                <w:sz w:val="22"/>
                <w:szCs w:val="22"/>
                <w:lang w:val="ro-RO"/>
              </w:rPr>
              <w:t>muncă</w:t>
            </w:r>
            <w:r w:rsidRPr="00D50450">
              <w:rPr>
                <w:rFonts w:ascii="Calibri Light" w:eastAsiaTheme="minorHAnsi" w:hAnsi="Calibri Light" w:cs="Calibri Light"/>
                <w:color w:val="000000" w:themeColor="text1"/>
                <w:sz w:val="22"/>
                <w:szCs w:val="22"/>
                <w:lang w:val="ro-RO"/>
              </w:rPr>
              <w:t xml:space="preserve"> zilnice maxime, precum și reglementărilor asociate cu odihn</w:t>
            </w:r>
            <w:r>
              <w:rPr>
                <w:rFonts w:ascii="Calibri Light" w:eastAsiaTheme="minorHAnsi" w:hAnsi="Calibri Light" w:cs="Calibri Light"/>
                <w:color w:val="000000" w:themeColor="text1"/>
                <w:sz w:val="22"/>
                <w:szCs w:val="22"/>
                <w:lang w:val="ro-RO"/>
              </w:rPr>
              <w:t>a</w:t>
            </w:r>
            <w:r w:rsidRPr="00D50450">
              <w:rPr>
                <w:rFonts w:ascii="Calibri Light" w:eastAsiaTheme="minorHAnsi" w:hAnsi="Calibri Light" w:cs="Calibri Light"/>
                <w:color w:val="000000" w:themeColor="text1"/>
                <w:sz w:val="22"/>
                <w:szCs w:val="22"/>
                <w:lang w:val="ro-RO"/>
              </w:rPr>
              <w:t xml:space="preserve"> zilnică și săptămânală neîntreruptă.</w:t>
            </w:r>
          </w:p>
          <w:p w:rsidR="004449C1" w:rsidRPr="00D50450" w:rsidRDefault="004449C1" w:rsidP="004449C1">
            <w:pPr>
              <w:pStyle w:val="HTMLPreformatted"/>
              <w:numPr>
                <w:ilvl w:val="0"/>
                <w:numId w:val="25"/>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concediu anual plătit minim.</w:t>
            </w:r>
          </w:p>
          <w:p w:rsidR="004449C1" w:rsidRPr="00D50450" w:rsidRDefault="004449C1" w:rsidP="004449C1">
            <w:pPr>
              <w:pStyle w:val="HTMLPreformatted"/>
              <w:shd w:val="clear" w:color="auto" w:fill="FFFFFF"/>
              <w:ind w:left="720"/>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Aceasta se referă, î</w:t>
            </w:r>
            <w:r>
              <w:rPr>
                <w:rFonts w:ascii="Calibri Light" w:eastAsiaTheme="minorHAnsi" w:hAnsi="Calibri Light" w:cs="Calibri Light"/>
                <w:color w:val="000000" w:themeColor="text1"/>
                <w:sz w:val="22"/>
                <w:szCs w:val="22"/>
                <w:lang w:val="ro-RO"/>
              </w:rPr>
              <w:t>n special, la concediile anuale</w:t>
            </w:r>
            <w:r w:rsidRPr="00D50450">
              <w:rPr>
                <w:rFonts w:ascii="Calibri Light" w:eastAsiaTheme="minorHAnsi" w:hAnsi="Calibri Light" w:cs="Calibri Light"/>
                <w:color w:val="000000" w:themeColor="text1"/>
                <w:sz w:val="22"/>
                <w:szCs w:val="22"/>
                <w:lang w:val="ro-RO"/>
              </w:rPr>
              <w:t xml:space="preserve"> ale căror durate minime diferă în anumite țări din UE. Această obligație nu se aplică </w:t>
            </w:r>
            <w:r>
              <w:rPr>
                <w:rFonts w:ascii="Calibri Light" w:eastAsiaTheme="minorHAnsi" w:hAnsi="Calibri Light" w:cs="Calibri Light"/>
                <w:color w:val="000000" w:themeColor="text1"/>
                <w:sz w:val="22"/>
                <w:szCs w:val="22"/>
                <w:lang w:val="ro-RO"/>
              </w:rPr>
              <w:t>în</w:t>
            </w:r>
            <w:r w:rsidRPr="00D50450">
              <w:rPr>
                <w:rFonts w:ascii="Calibri Light" w:eastAsiaTheme="minorHAnsi" w:hAnsi="Calibri Light" w:cs="Calibri Light"/>
                <w:color w:val="000000" w:themeColor="text1"/>
                <w:sz w:val="22"/>
                <w:szCs w:val="22"/>
                <w:lang w:val="ro-RO"/>
              </w:rPr>
              <w:t xml:space="preserve"> caz</w:t>
            </w:r>
            <w:r>
              <w:rPr>
                <w:rFonts w:ascii="Calibri Light" w:eastAsiaTheme="minorHAnsi" w:hAnsi="Calibri Light" w:cs="Calibri Light"/>
                <w:color w:val="000000" w:themeColor="text1"/>
                <w:sz w:val="22"/>
                <w:szCs w:val="22"/>
                <w:lang w:val="ro-RO"/>
              </w:rPr>
              <w:t>ul</w:t>
            </w:r>
            <w:r w:rsidRPr="00D50450">
              <w:rPr>
                <w:rFonts w:ascii="Calibri Light" w:eastAsiaTheme="minorHAnsi" w:hAnsi="Calibri Light" w:cs="Calibri Light"/>
                <w:color w:val="000000" w:themeColor="text1"/>
                <w:sz w:val="22"/>
                <w:szCs w:val="22"/>
                <w:lang w:val="ro-RO"/>
              </w:rPr>
              <w:t xml:space="preserve"> în care </w:t>
            </w:r>
            <w:r>
              <w:rPr>
                <w:rFonts w:ascii="Calibri Light" w:eastAsiaTheme="minorHAnsi" w:hAnsi="Calibri Light" w:cs="Calibri Light"/>
                <w:color w:val="000000" w:themeColor="text1"/>
                <w:sz w:val="22"/>
                <w:szCs w:val="22"/>
                <w:lang w:val="ro-RO"/>
              </w:rPr>
              <w:t>detaşarea</w:t>
            </w:r>
            <w:r w:rsidRPr="00D50450">
              <w:rPr>
                <w:rFonts w:ascii="Calibri Light" w:eastAsiaTheme="minorHAnsi" w:hAnsi="Calibri Light" w:cs="Calibri Light"/>
                <w:color w:val="000000" w:themeColor="text1"/>
                <w:sz w:val="22"/>
                <w:szCs w:val="22"/>
                <w:lang w:val="ro-RO"/>
              </w:rPr>
              <w:t xml:space="preserve"> nu depășește o perioadă de 8 zile și este efectuată de o societate care nu este o agenție de angajare temporară.</w:t>
            </w:r>
          </w:p>
          <w:p w:rsidR="004449C1" w:rsidRPr="00D50450" w:rsidRDefault="004449C1" w:rsidP="004449C1">
            <w:pPr>
              <w:pStyle w:val="HTMLPreformatted"/>
              <w:numPr>
                <w:ilvl w:val="0"/>
                <w:numId w:val="25"/>
              </w:numPr>
              <w:shd w:val="clear" w:color="auto" w:fill="FFFFFF"/>
              <w:jc w:val="both"/>
              <w:rPr>
                <w:rFonts w:ascii="Calibri Light" w:eastAsiaTheme="minorHAnsi" w:hAnsi="Calibri Light" w:cs="Calibri Light"/>
                <w:color w:val="000000" w:themeColor="text1"/>
                <w:sz w:val="22"/>
                <w:szCs w:val="22"/>
                <w:lang w:val="ro-RO"/>
              </w:rPr>
            </w:pPr>
            <w:r>
              <w:rPr>
                <w:rFonts w:ascii="Calibri Light" w:eastAsiaTheme="minorHAnsi" w:hAnsi="Calibri Light" w:cs="Calibri Light"/>
                <w:color w:val="000000" w:themeColor="text1"/>
                <w:sz w:val="22"/>
                <w:szCs w:val="22"/>
                <w:lang w:val="ro-RO"/>
              </w:rPr>
              <w:t>tarifele</w:t>
            </w:r>
            <w:r w:rsidRPr="00D50450">
              <w:rPr>
                <w:rFonts w:ascii="Calibri Light" w:eastAsiaTheme="minorHAnsi" w:hAnsi="Calibri Light" w:cs="Calibri Light"/>
                <w:color w:val="000000" w:themeColor="text1"/>
                <w:sz w:val="22"/>
                <w:szCs w:val="22"/>
                <w:lang w:val="ro-RO"/>
              </w:rPr>
              <w:t xml:space="preserve"> minime de remunerare, inclusiv </w:t>
            </w:r>
            <w:r>
              <w:rPr>
                <w:rFonts w:ascii="Calibri Light" w:eastAsiaTheme="minorHAnsi" w:hAnsi="Calibri Light" w:cs="Calibri Light"/>
                <w:color w:val="000000" w:themeColor="text1"/>
                <w:sz w:val="22"/>
                <w:szCs w:val="22"/>
                <w:lang w:val="ro-RO"/>
              </w:rPr>
              <w:t>tarifeleaplicate</w:t>
            </w:r>
            <w:r w:rsidRPr="00D50450">
              <w:rPr>
                <w:rFonts w:ascii="Calibri Light" w:eastAsiaTheme="minorHAnsi" w:hAnsi="Calibri Light" w:cs="Calibri Light"/>
                <w:color w:val="000000" w:themeColor="text1"/>
                <w:sz w:val="22"/>
                <w:szCs w:val="22"/>
                <w:lang w:val="ro-RO"/>
              </w:rPr>
              <w:t xml:space="preserve"> </w:t>
            </w:r>
            <w:r>
              <w:rPr>
                <w:rFonts w:ascii="Calibri Light" w:eastAsiaTheme="minorHAnsi" w:hAnsi="Calibri Light" w:cs="Calibri Light"/>
                <w:color w:val="000000" w:themeColor="text1"/>
                <w:sz w:val="22"/>
                <w:szCs w:val="22"/>
                <w:lang w:val="ro-RO"/>
              </w:rPr>
              <w:t>la orele</w:t>
            </w:r>
            <w:r w:rsidRPr="00D50450">
              <w:rPr>
                <w:rFonts w:ascii="Calibri Light" w:eastAsiaTheme="minorHAnsi" w:hAnsi="Calibri Light" w:cs="Calibri Light"/>
                <w:color w:val="000000" w:themeColor="text1"/>
                <w:sz w:val="22"/>
                <w:szCs w:val="22"/>
                <w:lang w:val="ro-RO"/>
              </w:rPr>
              <w:t xml:space="preserve"> suplimentare - </w:t>
            </w:r>
            <w:r>
              <w:rPr>
                <w:rFonts w:ascii="Calibri Light" w:eastAsiaTheme="minorHAnsi" w:hAnsi="Calibri Light" w:cs="Calibri Light"/>
                <w:color w:val="000000" w:themeColor="text1"/>
                <w:sz w:val="22"/>
                <w:szCs w:val="22"/>
                <w:lang w:val="ro-RO"/>
              </w:rPr>
              <w:t>tarifele</w:t>
            </w:r>
            <w:r w:rsidRPr="00D50450">
              <w:rPr>
                <w:rFonts w:ascii="Calibri Light" w:eastAsiaTheme="minorHAnsi" w:hAnsi="Calibri Light" w:cs="Calibri Light"/>
                <w:color w:val="000000" w:themeColor="text1"/>
                <w:sz w:val="22"/>
                <w:szCs w:val="22"/>
                <w:lang w:val="ro-RO"/>
              </w:rPr>
              <w:t xml:space="preserve"> minime lunare </w:t>
            </w:r>
            <w:r w:rsidRPr="00D50450">
              <w:rPr>
                <w:rFonts w:ascii="Calibri Light" w:eastAsiaTheme="minorHAnsi" w:hAnsi="Calibri Light" w:cs="Calibri Light"/>
                <w:color w:val="000000" w:themeColor="text1"/>
                <w:sz w:val="22"/>
                <w:szCs w:val="22"/>
                <w:lang w:val="ro-RO"/>
              </w:rPr>
              <w:lastRenderedPageBreak/>
              <w:t>sau orare pentru munca, precum și regulile asociate cu plata orelor suplimentare,</w:t>
            </w:r>
          </w:p>
          <w:p w:rsidR="004449C1" w:rsidRPr="00D50450" w:rsidRDefault="004449C1" w:rsidP="004449C1">
            <w:pPr>
              <w:pStyle w:val="HTMLPreformatted"/>
              <w:numPr>
                <w:ilvl w:val="0"/>
                <w:numId w:val="25"/>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aspecte legate de sănătatea și siguranța la locul de muncă - aceasta se aplică tuturor aspectelor muncii efectuate, deoarece problemele de îngrijire a sănătății și vieții </w:t>
            </w:r>
            <w:r>
              <w:rPr>
                <w:rFonts w:ascii="Calibri Light" w:eastAsiaTheme="minorHAnsi" w:hAnsi="Calibri Light" w:cs="Calibri Light"/>
                <w:color w:val="000000" w:themeColor="text1"/>
                <w:sz w:val="22"/>
                <w:szCs w:val="22"/>
                <w:lang w:val="ro-RO"/>
              </w:rPr>
              <w:t>angajaţilor</w:t>
            </w:r>
            <w:r w:rsidRPr="00D50450">
              <w:rPr>
                <w:rFonts w:ascii="Calibri Light" w:eastAsiaTheme="minorHAnsi" w:hAnsi="Calibri Light" w:cs="Calibri Light"/>
                <w:color w:val="000000" w:themeColor="text1"/>
                <w:sz w:val="22"/>
                <w:szCs w:val="22"/>
                <w:lang w:val="ro-RO"/>
              </w:rPr>
              <w:t xml:space="preserve"> sunt cele mai importante probleme la locul de muncă,</w:t>
            </w:r>
          </w:p>
          <w:p w:rsidR="004449C1" w:rsidRPr="00D50450" w:rsidRDefault="004449C1" w:rsidP="004449C1">
            <w:pPr>
              <w:pStyle w:val="HTMLPreformatted"/>
              <w:numPr>
                <w:ilvl w:val="0"/>
                <w:numId w:val="25"/>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măsurile de protecție aplicabile condițiilor de încadrare în muncă a femeilor însărcinate sau a celor care au născut de curând, a copiilor și a tinerilor,</w:t>
            </w:r>
          </w:p>
          <w:p w:rsidR="004449C1" w:rsidRPr="00D50450" w:rsidRDefault="004449C1" w:rsidP="004449C1">
            <w:pPr>
              <w:pStyle w:val="HTMLPreformatted"/>
              <w:numPr>
                <w:ilvl w:val="0"/>
                <w:numId w:val="25"/>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tratamentul egal al bărbaților și femeilor, precum și alte dispoziții privind nediscriminarea.</w:t>
            </w:r>
          </w:p>
          <w:p w:rsidR="004449C1" w:rsidRPr="00D50450" w:rsidRDefault="004449C1" w:rsidP="004449C1">
            <w:pPr>
              <w:pStyle w:val="HTMLPreformatted"/>
              <w:shd w:val="clear" w:color="auto" w:fill="FFFFFF"/>
              <w:ind w:left="720"/>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Aceasta se aplică tuturor aspectelor, în special discriminării directe (de exemplu, pe motive de sex, vârstă, handicap, rasă, religie, naționalitate, convingeri politice, apartenență sindicală, etnie, crez, orientare sexuală) precum </w:t>
            </w:r>
            <w:r>
              <w:rPr>
                <w:rFonts w:ascii="Calibri Light" w:eastAsiaTheme="minorHAnsi" w:hAnsi="Calibri Light" w:cs="Calibri Light"/>
                <w:color w:val="000000" w:themeColor="text1"/>
                <w:sz w:val="22"/>
                <w:szCs w:val="22"/>
                <w:lang w:val="ro-RO"/>
              </w:rPr>
              <w:t>şicana</w:t>
            </w:r>
            <w:r w:rsidRPr="00D50450">
              <w:rPr>
                <w:rFonts w:ascii="Calibri Light" w:eastAsiaTheme="minorHAnsi" w:hAnsi="Calibri Light" w:cs="Calibri Light"/>
                <w:color w:val="000000" w:themeColor="text1"/>
                <w:sz w:val="22"/>
                <w:szCs w:val="22"/>
                <w:lang w:val="ro-RO"/>
              </w:rPr>
              <w:t xml:space="preserve"> sau hărțuirea la locul de muncă.</w:t>
            </w:r>
          </w:p>
          <w:p w:rsidR="004449C1" w:rsidRPr="00D50450" w:rsidRDefault="004449C1" w:rsidP="004449C1">
            <w:pPr>
              <w:jc w:val="both"/>
              <w:rPr>
                <w:rFonts w:ascii="Calibri Light" w:hAnsi="Calibri Light" w:cs="Calibri Light"/>
                <w:color w:val="000000" w:themeColor="text1"/>
                <w:lang w:val="ro-RO"/>
              </w:rPr>
            </w:pPr>
          </w:p>
          <w:p w:rsidR="004449C1" w:rsidRPr="00D50450" w:rsidRDefault="004449C1" w:rsidP="004449C1">
            <w:pPr>
              <w:ind w:firstLine="702"/>
              <w:jc w:val="both"/>
              <w:rPr>
                <w:rFonts w:ascii="Calibri Light" w:hAnsi="Calibri Light" w:cs="Calibri Light"/>
                <w:color w:val="000000" w:themeColor="text1"/>
                <w:lang w:val="ro-RO"/>
              </w:rPr>
            </w:pPr>
            <w:r w:rsidRPr="00456FE5">
              <w:rPr>
                <w:rFonts w:ascii="Calibri Light" w:hAnsi="Calibri Light" w:cs="Calibri Light"/>
                <w:lang w:val="ro-RO"/>
              </w:rPr>
              <w:t xml:space="preserve">Ele nu se aplică tuturor problemelor legate de ocuparea forței de muncă, însă se poate concluziona că </w:t>
            </w:r>
            <w:r>
              <w:rPr>
                <w:rFonts w:ascii="Calibri Light" w:hAnsi="Calibri Light" w:cs="Calibri Light"/>
                <w:lang w:val="ro-RO"/>
              </w:rPr>
              <w:t xml:space="preserve">în </w:t>
            </w:r>
            <w:r w:rsidRPr="00456FE5">
              <w:rPr>
                <w:rFonts w:ascii="Calibri Light" w:hAnsi="Calibri Light" w:cs="Calibri Light"/>
                <w:lang w:val="ro-RO"/>
              </w:rPr>
              <w:t xml:space="preserve">catalogul de mai sus </w:t>
            </w:r>
            <w:r>
              <w:rPr>
                <w:rFonts w:ascii="Calibri Light" w:hAnsi="Calibri Light" w:cs="Calibri Light"/>
                <w:lang w:val="ro-RO"/>
              </w:rPr>
              <w:t>sunt incluse</w:t>
            </w:r>
            <w:r w:rsidRPr="00456FE5">
              <w:rPr>
                <w:rFonts w:ascii="Calibri Light" w:hAnsi="Calibri Light" w:cs="Calibri Light"/>
                <w:lang w:val="ro-RO"/>
              </w:rPr>
              <w:t xml:space="preserve"> cele mai importante aspecte </w:t>
            </w:r>
            <w:r>
              <w:rPr>
                <w:rFonts w:ascii="Calibri Light" w:hAnsi="Calibri Light" w:cs="Calibri Light"/>
                <w:lang w:val="ro-RO"/>
              </w:rPr>
              <w:t>referitoare la angajați,</w:t>
            </w:r>
            <w:r w:rsidRPr="00456FE5">
              <w:rPr>
                <w:rFonts w:ascii="Calibri Light" w:hAnsi="Calibri Light" w:cs="Calibri Light"/>
                <w:lang w:val="ro-RO"/>
              </w:rPr>
              <w:t xml:space="preserve"> asociate cu performanța </w:t>
            </w:r>
            <w:r>
              <w:rPr>
                <w:rFonts w:ascii="Calibri Light" w:hAnsi="Calibri Light" w:cs="Calibri Light"/>
                <w:lang w:val="ro-RO"/>
              </w:rPr>
              <w:t>la locul de muncă</w:t>
            </w:r>
            <w:r w:rsidRPr="00456FE5">
              <w:rPr>
                <w:rFonts w:ascii="Calibri Light" w:hAnsi="Calibri Light" w:cs="Calibri Light"/>
                <w:lang w:val="ro-RO"/>
              </w:rPr>
              <w:t xml:space="preserve"> în fiecare stat membru. Nu există, de asemenea, obstacole pentru statele membre </w:t>
            </w:r>
            <w:r>
              <w:rPr>
                <w:rFonts w:ascii="Calibri Light" w:hAnsi="Calibri Light" w:cs="Calibri Light"/>
                <w:color w:val="000000" w:themeColor="text1"/>
                <w:lang w:val="ro-RO"/>
              </w:rPr>
              <w:t>în aplicarea</w:t>
            </w:r>
            <w:r w:rsidRPr="00D50450">
              <w:rPr>
                <w:rFonts w:ascii="Calibri Light" w:hAnsi="Calibri Light" w:cs="Calibri Light"/>
                <w:color w:val="000000" w:themeColor="text1"/>
                <w:lang w:val="ro-RO"/>
              </w:rPr>
              <w:t xml:space="preserve"> </w:t>
            </w:r>
            <w:r>
              <w:rPr>
                <w:rFonts w:ascii="Calibri Light" w:hAnsi="Calibri Light" w:cs="Calibri Light"/>
                <w:color w:val="000000" w:themeColor="text1"/>
                <w:lang w:val="ro-RO"/>
              </w:rPr>
              <w:t>dispozițiilor</w:t>
            </w:r>
            <w:r w:rsidRPr="00D50450">
              <w:rPr>
                <w:rFonts w:ascii="Calibri Light" w:hAnsi="Calibri Light" w:cs="Calibri Light"/>
                <w:color w:val="000000" w:themeColor="text1"/>
                <w:lang w:val="ro-RO"/>
              </w:rPr>
              <w:t xml:space="preserve"> acordurilor colective, regionale sau industriale cu privire la </w:t>
            </w:r>
            <w:r>
              <w:rPr>
                <w:rFonts w:ascii="Calibri Light" w:hAnsi="Calibri Light" w:cs="Calibri Light"/>
                <w:color w:val="000000" w:themeColor="text1"/>
                <w:lang w:val="ro-RO"/>
              </w:rPr>
              <w:t>angajaţii</w:t>
            </w:r>
            <w:r w:rsidRPr="00D50450">
              <w:rPr>
                <w:rFonts w:ascii="Calibri Light" w:hAnsi="Calibri Light" w:cs="Calibri Light"/>
                <w:color w:val="000000" w:themeColor="text1"/>
                <w:lang w:val="ro-RO"/>
              </w:rPr>
              <w:t xml:space="preserve"> detașați, ceea ce ar ridica standardele de ocupare a forței de muncă </w:t>
            </w:r>
            <w:r>
              <w:rPr>
                <w:rFonts w:ascii="Calibri Light" w:hAnsi="Calibri Light" w:cs="Calibri Light"/>
                <w:color w:val="000000" w:themeColor="text1"/>
                <w:lang w:val="ro-RO"/>
              </w:rPr>
              <w:t xml:space="preserve">de </w:t>
            </w:r>
            <w:r w:rsidRPr="00D50450">
              <w:rPr>
                <w:rFonts w:ascii="Calibri Light" w:hAnsi="Calibri Light" w:cs="Calibri Light"/>
                <w:color w:val="000000" w:themeColor="text1"/>
                <w:lang w:val="ro-RO"/>
              </w:rPr>
              <w:t>care au beneficiat de angajații locali.</w:t>
            </w:r>
          </w:p>
          <w:p w:rsidR="004449C1" w:rsidRPr="00D50450" w:rsidRDefault="004449C1" w:rsidP="004449C1">
            <w:pPr>
              <w:ind w:firstLine="70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Problemele specificate în directivă înseamnă că un </w:t>
            </w:r>
            <w:r>
              <w:rPr>
                <w:rFonts w:ascii="Calibri Light" w:hAnsi="Calibri Light" w:cs="Calibri Light"/>
                <w:color w:val="000000" w:themeColor="text1"/>
                <w:lang w:val="ro-RO"/>
              </w:rPr>
              <w:t>angajat</w:t>
            </w:r>
            <w:r w:rsidRPr="00D50450">
              <w:rPr>
                <w:rFonts w:ascii="Calibri Light" w:hAnsi="Calibri Light" w:cs="Calibri Light"/>
                <w:color w:val="000000" w:themeColor="text1"/>
                <w:lang w:val="ro-RO"/>
              </w:rPr>
              <w:t xml:space="preserve"> detașat la locul de muncă nu poate fi discriminat în zonele de ocupare a forței de muncă de mai sus comparativ cu statutul de angajare și condițiile </w:t>
            </w:r>
            <w:r>
              <w:rPr>
                <w:rFonts w:ascii="Calibri Light" w:hAnsi="Calibri Light" w:cs="Calibri Light"/>
                <w:color w:val="000000" w:themeColor="text1"/>
                <w:lang w:val="ro-RO"/>
              </w:rPr>
              <w:t>angajaţilor</w:t>
            </w:r>
            <w:r w:rsidRPr="00D50450">
              <w:rPr>
                <w:rFonts w:ascii="Calibri Light" w:hAnsi="Calibri Light" w:cs="Calibri Light"/>
                <w:color w:val="000000" w:themeColor="text1"/>
                <w:lang w:val="ro-RO"/>
              </w:rPr>
              <w:t xml:space="preserve"> locali. Prin urmare, angajatorul este obligat să furnizeze unui </w:t>
            </w:r>
            <w:r>
              <w:rPr>
                <w:rFonts w:ascii="Calibri Light" w:hAnsi="Calibri Light" w:cs="Calibri Light"/>
                <w:color w:val="000000" w:themeColor="text1"/>
                <w:lang w:val="ro-RO"/>
              </w:rPr>
              <w:t>angajat</w:t>
            </w:r>
            <w:r w:rsidRPr="00D50450">
              <w:rPr>
                <w:rFonts w:ascii="Calibri Light" w:hAnsi="Calibri Light" w:cs="Calibri Light"/>
                <w:color w:val="000000" w:themeColor="text1"/>
                <w:lang w:val="ro-RO"/>
              </w:rPr>
              <w:t xml:space="preserve"> detașat condiții de muncă cel puțin egale cu nivelul efectiv într-o țară în care se desfășoară munca. În același timp, reglementările unei țări de detașare se aplică unui </w:t>
            </w:r>
            <w:r>
              <w:rPr>
                <w:rFonts w:ascii="Calibri Light" w:hAnsi="Calibri Light" w:cs="Calibri Light"/>
                <w:color w:val="000000" w:themeColor="text1"/>
                <w:lang w:val="ro-RO"/>
              </w:rPr>
              <w:t>angajat</w:t>
            </w:r>
            <w:r w:rsidRPr="00D50450">
              <w:rPr>
                <w:rFonts w:ascii="Calibri Light" w:hAnsi="Calibri Light" w:cs="Calibri Light"/>
                <w:color w:val="000000" w:themeColor="text1"/>
                <w:lang w:val="ro-RO"/>
              </w:rPr>
              <w:t xml:space="preserve"> detașat în măsura în care acestea sunt mai </w:t>
            </w:r>
            <w:r>
              <w:rPr>
                <w:rFonts w:ascii="Calibri Light" w:hAnsi="Calibri Light" w:cs="Calibri Light"/>
                <w:color w:val="000000" w:themeColor="text1"/>
                <w:lang w:val="ro-RO"/>
              </w:rPr>
              <w:t>avantajoase</w:t>
            </w:r>
            <w:r w:rsidRPr="00D50450">
              <w:rPr>
                <w:rFonts w:ascii="Calibri Light" w:hAnsi="Calibri Light" w:cs="Calibri Light"/>
                <w:color w:val="000000" w:themeColor="text1"/>
                <w:lang w:val="ro-RO"/>
              </w:rPr>
              <w:t xml:space="preserve"> decât reglementările unei țări în care este detașat </w:t>
            </w:r>
            <w:r>
              <w:rPr>
                <w:rFonts w:ascii="Calibri Light" w:hAnsi="Calibri Light" w:cs="Calibri Light"/>
                <w:color w:val="000000" w:themeColor="text1"/>
                <w:lang w:val="ro-RO"/>
              </w:rPr>
              <w:t>angajatul</w:t>
            </w:r>
            <w:r w:rsidRPr="00D50450">
              <w:rPr>
                <w:rFonts w:ascii="Calibri Light" w:hAnsi="Calibri Light" w:cs="Calibri Light"/>
                <w:color w:val="000000" w:themeColor="text1"/>
                <w:lang w:val="ro-RO"/>
              </w:rPr>
              <w:t xml:space="preserve"> (articolul 3, paragraful 7 din directivă). Un angajator care detașează </w:t>
            </w:r>
            <w:r>
              <w:rPr>
                <w:rFonts w:ascii="Calibri Light" w:hAnsi="Calibri Light" w:cs="Calibri Light"/>
                <w:color w:val="000000" w:themeColor="text1"/>
                <w:lang w:val="ro-RO"/>
              </w:rPr>
              <w:t>angajaţi</w:t>
            </w:r>
            <w:r w:rsidRPr="00D50450">
              <w:rPr>
                <w:rFonts w:ascii="Calibri Light" w:hAnsi="Calibri Light" w:cs="Calibri Light"/>
                <w:color w:val="000000" w:themeColor="text1"/>
                <w:lang w:val="ro-RO"/>
              </w:rPr>
              <w:t xml:space="preserve"> trebuie, de fapt, să țină cont de reglementările </w:t>
            </w:r>
            <w:r>
              <w:rPr>
                <w:rFonts w:ascii="Calibri Light" w:hAnsi="Calibri Light" w:cs="Calibri Light"/>
                <w:color w:val="000000" w:themeColor="text1"/>
                <w:lang w:val="ro-RO"/>
              </w:rPr>
              <w:t>în domeniul ocupării forţei de muncă,</w:t>
            </w:r>
            <w:r w:rsidRPr="00D50450">
              <w:rPr>
                <w:rFonts w:ascii="Calibri Light" w:hAnsi="Calibri Light" w:cs="Calibri Light"/>
                <w:color w:val="000000" w:themeColor="text1"/>
                <w:lang w:val="ro-RO"/>
              </w:rPr>
              <w:t xml:space="preserve"> obligatorii în mai multe țări. </w:t>
            </w:r>
          </w:p>
          <w:p w:rsidR="004449C1" w:rsidRPr="00D50450" w:rsidRDefault="004449C1" w:rsidP="004449C1">
            <w:pPr>
              <w:ind w:firstLine="702"/>
              <w:jc w:val="both"/>
              <w:rPr>
                <w:rFonts w:ascii="Calibri Light" w:hAnsi="Calibri Light" w:cs="Calibri Light"/>
                <w:color w:val="000000" w:themeColor="text1"/>
                <w:lang w:val="ro-RO"/>
              </w:rPr>
            </w:pPr>
          </w:p>
          <w:p w:rsidR="004449C1" w:rsidRPr="00D50450" w:rsidRDefault="004449C1" w:rsidP="004449C1">
            <w:pPr>
              <w:ind w:firstLine="70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Un </w:t>
            </w:r>
            <w:r>
              <w:rPr>
                <w:rFonts w:ascii="Calibri Light" w:hAnsi="Calibri Light" w:cs="Calibri Light"/>
                <w:color w:val="000000" w:themeColor="text1"/>
                <w:lang w:val="ro-RO"/>
              </w:rPr>
              <w:t>angajat</w:t>
            </w:r>
            <w:r w:rsidRPr="00D50450">
              <w:rPr>
                <w:rFonts w:ascii="Calibri Light" w:hAnsi="Calibri Light" w:cs="Calibri Light"/>
                <w:color w:val="000000" w:themeColor="text1"/>
                <w:lang w:val="ro-RO"/>
              </w:rPr>
              <w:t xml:space="preserve"> </w:t>
            </w:r>
            <w:r>
              <w:rPr>
                <w:rFonts w:ascii="Calibri Light" w:hAnsi="Calibri Light" w:cs="Calibri Light"/>
                <w:color w:val="000000" w:themeColor="text1"/>
                <w:lang w:val="ro-RO"/>
              </w:rPr>
              <w:t>detaşat</w:t>
            </w:r>
            <w:r w:rsidRPr="00D50450">
              <w:rPr>
                <w:rFonts w:ascii="Calibri Light" w:hAnsi="Calibri Light" w:cs="Calibri Light"/>
                <w:color w:val="000000" w:themeColor="text1"/>
                <w:lang w:val="ro-RO"/>
              </w:rPr>
              <w:t xml:space="preserve"> într-o altă țară UE:</w:t>
            </w:r>
          </w:p>
          <w:p w:rsidR="004449C1" w:rsidRPr="00D50450" w:rsidRDefault="004449C1" w:rsidP="004449C1">
            <w:pPr>
              <w:jc w:val="both"/>
              <w:rPr>
                <w:rFonts w:ascii="Calibri Light" w:hAnsi="Calibri Light" w:cs="Calibri Light"/>
                <w:color w:val="000000" w:themeColor="text1"/>
                <w:lang w:val="ro-RO"/>
              </w:rPr>
            </w:pPr>
          </w:p>
          <w:p w:rsidR="004449C1" w:rsidRPr="00D50450" w:rsidRDefault="004449C1" w:rsidP="004449C1">
            <w:pPr>
              <w:pStyle w:val="ListParagraph"/>
              <w:numPr>
                <w:ilvl w:val="0"/>
                <w:numId w:val="26"/>
              </w:num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nu trebuie să dețină un permis de muncă, cu excepția cazului în care el sau ea este un </w:t>
            </w:r>
            <w:r>
              <w:rPr>
                <w:rFonts w:ascii="Calibri Light" w:hAnsi="Calibri Light" w:cs="Calibri Light"/>
                <w:color w:val="000000" w:themeColor="text1"/>
                <w:lang w:val="ro-RO"/>
              </w:rPr>
              <w:t>angajat</w:t>
            </w:r>
            <w:r w:rsidRPr="00D50450">
              <w:rPr>
                <w:rFonts w:ascii="Calibri Light" w:hAnsi="Calibri Light" w:cs="Calibri Light"/>
                <w:color w:val="000000" w:themeColor="text1"/>
                <w:lang w:val="ro-RO"/>
              </w:rPr>
              <w:t xml:space="preserve"> detașat din Croația în Austria, </w:t>
            </w:r>
            <w:r>
              <w:rPr>
                <w:rFonts w:ascii="Calibri Light" w:hAnsi="Calibri Light" w:cs="Calibri Light"/>
                <w:color w:val="000000" w:themeColor="text1"/>
                <w:lang w:val="ro-RO"/>
              </w:rPr>
              <w:t xml:space="preserve">fapt </w:t>
            </w:r>
            <w:r w:rsidRPr="00D50450">
              <w:rPr>
                <w:rFonts w:ascii="Calibri Light" w:hAnsi="Calibri Light" w:cs="Calibri Light"/>
                <w:color w:val="000000" w:themeColor="text1"/>
                <w:lang w:val="ro-RO"/>
              </w:rPr>
              <w:t xml:space="preserve">care </w:t>
            </w:r>
            <w:r>
              <w:rPr>
                <w:rFonts w:ascii="Calibri Light" w:hAnsi="Calibri Light" w:cs="Calibri Light"/>
                <w:color w:val="000000" w:themeColor="text1"/>
                <w:lang w:val="ro-RO"/>
              </w:rPr>
              <w:t>presupune</w:t>
            </w:r>
            <w:r w:rsidRPr="00D50450">
              <w:rPr>
                <w:rFonts w:ascii="Calibri Light" w:hAnsi="Calibri Light" w:cs="Calibri Light"/>
                <w:color w:val="000000" w:themeColor="text1"/>
                <w:lang w:val="ro-RO"/>
              </w:rPr>
              <w:t xml:space="preserve"> în continuare restricții în anumite sectoare,</w:t>
            </w:r>
          </w:p>
          <w:p w:rsidR="004449C1" w:rsidRPr="00D50450" w:rsidRDefault="004449C1" w:rsidP="004449C1">
            <w:pPr>
              <w:pStyle w:val="ListParagraph"/>
              <w:numPr>
                <w:ilvl w:val="0"/>
                <w:numId w:val="26"/>
              </w:num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nu trebuie să depună nicio cerere de recunoaștere a calificărilor profesionale; cu toate acestea, în cazul unor profesii, se poate dovedi necesar să se depună o declarație scrisă. </w:t>
            </w:r>
          </w:p>
          <w:p w:rsidR="004449C1" w:rsidRPr="00D50450" w:rsidRDefault="004449C1" w:rsidP="004449C1">
            <w:pPr>
              <w:jc w:val="both"/>
              <w:rPr>
                <w:rFonts w:ascii="Calibri Light" w:hAnsi="Calibri Light" w:cs="Calibri Light"/>
                <w:color w:val="000000" w:themeColor="text1"/>
                <w:lang w:val="ro-RO"/>
              </w:rPr>
            </w:pPr>
          </w:p>
          <w:p w:rsidR="004449C1" w:rsidRPr="00D50450" w:rsidRDefault="004449C1" w:rsidP="004449C1">
            <w:pPr>
              <w:jc w:val="center"/>
              <w:rPr>
                <w:rFonts w:ascii="Calibri Light" w:hAnsi="Calibri Light" w:cs="Calibri Light"/>
                <w:b/>
                <w:bCs/>
                <w:i/>
                <w:iCs/>
                <w:color w:val="000000" w:themeColor="text1"/>
                <w:lang w:val="ro-RO"/>
              </w:rPr>
            </w:pPr>
            <w:r w:rsidRPr="00D50450">
              <w:rPr>
                <w:rFonts w:ascii="Calibri Light" w:hAnsi="Calibri Light" w:cs="Calibri Light"/>
                <w:b/>
                <w:bCs/>
                <w:i/>
                <w:iCs/>
                <w:color w:val="000000" w:themeColor="text1"/>
                <w:lang w:val="ro-RO"/>
              </w:rPr>
              <w:t xml:space="preserve">Călătorii, cazare, </w:t>
            </w:r>
            <w:r>
              <w:rPr>
                <w:rFonts w:ascii="Calibri Light" w:hAnsi="Calibri Light" w:cs="Calibri Light"/>
                <w:b/>
                <w:bCs/>
                <w:i/>
                <w:iCs/>
                <w:color w:val="000000" w:themeColor="text1"/>
                <w:lang w:val="ro-RO"/>
              </w:rPr>
              <w:t>mâncare</w:t>
            </w:r>
          </w:p>
          <w:p w:rsidR="004449C1" w:rsidRPr="00D50450" w:rsidRDefault="004449C1" w:rsidP="004449C1">
            <w:pPr>
              <w:jc w:val="both"/>
              <w:rPr>
                <w:rFonts w:ascii="Calibri Light" w:hAnsi="Calibri Light" w:cs="Calibri Light"/>
                <w:color w:val="000000" w:themeColor="text1"/>
                <w:lang w:val="ro-RO"/>
              </w:rPr>
            </w:pPr>
          </w:p>
          <w:p w:rsidR="004449C1" w:rsidRPr="00D50450" w:rsidRDefault="004449C1" w:rsidP="004449C1">
            <w:pPr>
              <w:ind w:firstLine="61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Cheltuielile legate de călătorie, cazare și </w:t>
            </w:r>
            <w:r>
              <w:rPr>
                <w:rFonts w:ascii="Calibri Light" w:hAnsi="Calibri Light" w:cs="Calibri Light"/>
                <w:color w:val="000000" w:themeColor="text1"/>
                <w:lang w:val="ro-RO"/>
              </w:rPr>
              <w:t>mâncare</w:t>
            </w:r>
            <w:r w:rsidRPr="00D50450">
              <w:rPr>
                <w:rFonts w:ascii="Calibri Light" w:hAnsi="Calibri Light" w:cs="Calibri Light"/>
                <w:color w:val="000000" w:themeColor="text1"/>
                <w:lang w:val="ro-RO"/>
              </w:rPr>
              <w:t xml:space="preserve"> </w:t>
            </w:r>
            <w:r>
              <w:rPr>
                <w:rFonts w:ascii="Calibri Light" w:hAnsi="Calibri Light" w:cs="Calibri Light"/>
                <w:color w:val="000000" w:themeColor="text1"/>
                <w:lang w:val="ro-RO"/>
              </w:rPr>
              <w:t>pentru un angajat</w:t>
            </w:r>
            <w:r w:rsidRPr="00D50450">
              <w:rPr>
                <w:rFonts w:ascii="Calibri Light" w:hAnsi="Calibri Light" w:cs="Calibri Light"/>
                <w:color w:val="000000" w:themeColor="text1"/>
                <w:lang w:val="ro-RO"/>
              </w:rPr>
              <w:t xml:space="preserve"> detașat sunt suportate de angajator și, în acest caz, nu există niciun temei juridic pentru a deduce aceste sume din remunerația </w:t>
            </w:r>
            <w:r>
              <w:rPr>
                <w:rFonts w:ascii="Calibri Light" w:hAnsi="Calibri Light" w:cs="Calibri Light"/>
                <w:color w:val="000000" w:themeColor="text1"/>
                <w:lang w:val="ro-RO"/>
              </w:rPr>
              <w:t>angajatului</w:t>
            </w:r>
            <w:r w:rsidRPr="00D50450">
              <w:rPr>
                <w:rFonts w:ascii="Calibri Light" w:hAnsi="Calibri Light" w:cs="Calibri Light"/>
                <w:color w:val="000000" w:themeColor="text1"/>
                <w:lang w:val="ro-RO"/>
              </w:rPr>
              <w:t xml:space="preserve">. În afară de aceasta, angajatorul este obligat să asigure unui </w:t>
            </w:r>
            <w:r>
              <w:rPr>
                <w:rFonts w:ascii="Calibri Light" w:hAnsi="Calibri Light" w:cs="Calibri Light"/>
                <w:color w:val="000000" w:themeColor="text1"/>
                <w:lang w:val="ro-RO"/>
              </w:rPr>
              <w:t>angajat cazare</w:t>
            </w:r>
            <w:r w:rsidRPr="00D50450">
              <w:rPr>
                <w:rFonts w:ascii="Calibri Light" w:hAnsi="Calibri Light" w:cs="Calibri Light"/>
                <w:color w:val="000000" w:themeColor="text1"/>
                <w:lang w:val="ro-RO"/>
              </w:rPr>
              <w:t xml:space="preserve"> adecvată în conformitate cu legislația țării în care se desfășoară munca.</w:t>
            </w:r>
          </w:p>
          <w:p w:rsidR="004449C1" w:rsidRPr="00D50450" w:rsidRDefault="004449C1" w:rsidP="004449C1">
            <w:pPr>
              <w:jc w:val="both"/>
              <w:rPr>
                <w:rFonts w:ascii="Calibri Light" w:hAnsi="Calibri Light" w:cs="Calibri Light"/>
                <w:color w:val="000000" w:themeColor="text1"/>
                <w:lang w:val="ro-RO"/>
              </w:rPr>
            </w:pPr>
          </w:p>
          <w:p w:rsidR="004449C1" w:rsidRPr="00D50450" w:rsidRDefault="004449C1" w:rsidP="004449C1">
            <w:pPr>
              <w:ind w:firstLine="360"/>
              <w:jc w:val="center"/>
              <w:rPr>
                <w:rFonts w:ascii="Calibri Light" w:hAnsi="Calibri Light" w:cs="Calibri Light"/>
                <w:b/>
                <w:i/>
                <w:color w:val="000000" w:themeColor="text1"/>
                <w:lang w:val="ro-RO"/>
              </w:rPr>
            </w:pPr>
            <w:r w:rsidRPr="00D50450">
              <w:rPr>
                <w:rFonts w:ascii="Calibri Light" w:hAnsi="Calibri Light" w:cs="Calibri Light"/>
                <w:b/>
                <w:i/>
                <w:color w:val="000000" w:themeColor="text1"/>
                <w:lang w:val="ro-RO"/>
              </w:rPr>
              <w:t>Dreptul de a merge în instanță</w:t>
            </w:r>
          </w:p>
          <w:p w:rsidR="004449C1" w:rsidRPr="00D50450" w:rsidRDefault="004449C1"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p>
          <w:p w:rsidR="004449C1" w:rsidRPr="00D50450" w:rsidRDefault="004449C1"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Un </w:t>
            </w:r>
            <w:r>
              <w:rPr>
                <w:rFonts w:ascii="Calibri Light" w:eastAsiaTheme="minorHAnsi" w:hAnsi="Calibri Light" w:cs="Calibri Light"/>
                <w:color w:val="000000" w:themeColor="text1"/>
                <w:sz w:val="22"/>
                <w:szCs w:val="22"/>
                <w:lang w:val="ro-RO"/>
              </w:rPr>
              <w:t>angajat</w:t>
            </w:r>
            <w:r w:rsidRPr="00D50450">
              <w:rPr>
                <w:rFonts w:ascii="Calibri Light" w:eastAsiaTheme="minorHAnsi" w:hAnsi="Calibri Light" w:cs="Calibri Light"/>
                <w:color w:val="000000" w:themeColor="text1"/>
                <w:sz w:val="22"/>
                <w:szCs w:val="22"/>
                <w:lang w:val="ro-RO"/>
              </w:rPr>
              <w:t xml:space="preserve"> detașat ar trebui să aibă posibilitatea de a-și susține condițiile de muncă garantate de art. 3 din directivă în fața instanțelor din țara în care </w:t>
            </w:r>
            <w:r>
              <w:rPr>
                <w:rFonts w:ascii="Calibri Light" w:eastAsiaTheme="minorHAnsi" w:hAnsi="Calibri Light" w:cs="Calibri Light"/>
                <w:color w:val="000000" w:themeColor="text1"/>
                <w:sz w:val="22"/>
                <w:szCs w:val="22"/>
                <w:lang w:val="ro-RO"/>
              </w:rPr>
              <w:t>este detașat.</w:t>
            </w:r>
            <w:r w:rsidRPr="00D50450">
              <w:rPr>
                <w:rFonts w:ascii="Calibri Light" w:eastAsiaTheme="minorHAnsi" w:hAnsi="Calibri Light" w:cs="Calibri Light"/>
                <w:color w:val="000000" w:themeColor="text1"/>
                <w:sz w:val="22"/>
                <w:szCs w:val="22"/>
                <w:lang w:val="ro-RO"/>
              </w:rPr>
              <w:t xml:space="preserve"> Acest lucru înseamnă că un angajator care detașează </w:t>
            </w:r>
            <w:r>
              <w:rPr>
                <w:rFonts w:ascii="Calibri Light" w:eastAsiaTheme="minorHAnsi" w:hAnsi="Calibri Light" w:cs="Calibri Light"/>
                <w:color w:val="000000" w:themeColor="text1"/>
                <w:sz w:val="22"/>
                <w:szCs w:val="22"/>
                <w:lang w:val="ro-RO"/>
              </w:rPr>
              <w:t>angajaţii</w:t>
            </w:r>
            <w:r w:rsidRPr="00D50450">
              <w:rPr>
                <w:rFonts w:ascii="Calibri Light" w:eastAsiaTheme="minorHAnsi" w:hAnsi="Calibri Light" w:cs="Calibri Light"/>
                <w:color w:val="000000" w:themeColor="text1"/>
                <w:sz w:val="22"/>
                <w:szCs w:val="22"/>
                <w:lang w:val="ro-RO"/>
              </w:rPr>
              <w:t xml:space="preserve"> să lucreze într-un alt stat membru trebuie să ia în considerare riscul de a fi acționat în justiție în țara </w:t>
            </w:r>
            <w:r>
              <w:rPr>
                <w:rFonts w:ascii="Calibri Light" w:eastAsiaTheme="minorHAnsi" w:hAnsi="Calibri Light" w:cs="Calibri Light"/>
                <w:color w:val="000000" w:themeColor="text1"/>
                <w:sz w:val="22"/>
                <w:szCs w:val="22"/>
                <w:lang w:val="ro-RO"/>
              </w:rPr>
              <w:t>în care acesta a fost delegat</w:t>
            </w:r>
            <w:r w:rsidRPr="00D50450">
              <w:rPr>
                <w:rFonts w:ascii="Calibri Light" w:eastAsiaTheme="minorHAnsi" w:hAnsi="Calibri Light" w:cs="Calibri Light"/>
                <w:color w:val="000000" w:themeColor="text1"/>
                <w:sz w:val="22"/>
                <w:szCs w:val="22"/>
                <w:lang w:val="ro-RO"/>
              </w:rPr>
              <w:t>, precum și în țara în care își are sediul social (articolul 6 din directivă).</w:t>
            </w:r>
          </w:p>
          <w:p w:rsidR="004449C1" w:rsidRPr="00D50450" w:rsidRDefault="004449C1"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p>
          <w:p w:rsidR="004449C1" w:rsidRPr="00D50450" w:rsidRDefault="004449C1" w:rsidP="004449C1">
            <w:pPr>
              <w:pStyle w:val="HTMLPreformatted"/>
              <w:shd w:val="clear" w:color="auto" w:fill="FFFFFF"/>
              <w:jc w:val="center"/>
              <w:rPr>
                <w:rFonts w:ascii="Calibri Light" w:eastAsiaTheme="minorHAnsi" w:hAnsi="Calibri Light" w:cs="Calibri Light"/>
                <w:b/>
                <w:i/>
                <w:color w:val="000000" w:themeColor="text1"/>
                <w:sz w:val="22"/>
                <w:szCs w:val="22"/>
                <w:lang w:val="ro-RO"/>
              </w:rPr>
            </w:pPr>
            <w:r w:rsidRPr="00D50450">
              <w:rPr>
                <w:rFonts w:ascii="Calibri Light" w:eastAsiaTheme="minorHAnsi" w:hAnsi="Calibri Light" w:cs="Calibri Light"/>
                <w:b/>
                <w:i/>
                <w:color w:val="000000" w:themeColor="text1"/>
                <w:sz w:val="22"/>
                <w:szCs w:val="22"/>
                <w:lang w:val="ro-RO"/>
              </w:rPr>
              <w:t>Cui se aplică regulamentul privind detașarea</w:t>
            </w:r>
            <w:r w:rsidR="00592698">
              <w:rPr>
                <w:rFonts w:ascii="Calibri Light" w:eastAsiaTheme="minorHAnsi" w:hAnsi="Calibri Light" w:cs="Calibri Light"/>
                <w:b/>
                <w:i/>
                <w:color w:val="000000" w:themeColor="text1"/>
                <w:sz w:val="22"/>
                <w:szCs w:val="22"/>
                <w:lang w:val="ro-RO"/>
              </w:rPr>
              <w:t xml:space="preserve"> forţei de muncă</w:t>
            </w:r>
          </w:p>
          <w:p w:rsidR="004449C1" w:rsidRPr="00D50450" w:rsidRDefault="004449C1" w:rsidP="004449C1">
            <w:pPr>
              <w:pStyle w:val="HTMLPreformatted"/>
              <w:shd w:val="clear" w:color="auto" w:fill="FFFFFF"/>
              <w:jc w:val="both"/>
              <w:rPr>
                <w:rFonts w:ascii="Calibri Light" w:eastAsiaTheme="minorHAnsi" w:hAnsi="Calibri Light" w:cs="Calibri Light"/>
                <w:color w:val="000000" w:themeColor="text1"/>
                <w:sz w:val="22"/>
                <w:szCs w:val="22"/>
                <w:lang w:val="ro-RO"/>
              </w:rPr>
            </w:pP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Reglementările privind detașarea </w:t>
            </w:r>
            <w:r>
              <w:rPr>
                <w:rFonts w:ascii="Calibri Light" w:eastAsiaTheme="minorHAnsi" w:hAnsi="Calibri Light" w:cs="Calibri Light"/>
                <w:color w:val="000000" w:themeColor="text1"/>
                <w:sz w:val="22"/>
                <w:szCs w:val="22"/>
                <w:lang w:val="ro-RO"/>
              </w:rPr>
              <w:t>angajaţilor</w:t>
            </w:r>
            <w:r w:rsidRPr="00D50450">
              <w:rPr>
                <w:rFonts w:ascii="Calibri Light" w:eastAsiaTheme="minorHAnsi" w:hAnsi="Calibri Light" w:cs="Calibri Light"/>
                <w:color w:val="000000" w:themeColor="text1"/>
                <w:sz w:val="22"/>
                <w:szCs w:val="22"/>
                <w:lang w:val="ro-RO"/>
              </w:rPr>
              <w:t xml:space="preserve"> se aplică întreprinderilor care desfășoară activități într-un stat membru al Uniunii Europene și într-o țară semnatară a Acordului privind Spațiul Economic European care, în cadrul prestării de servicii dincolo de frontierele sale,  detașează temporar </w:t>
            </w:r>
            <w:r>
              <w:rPr>
                <w:rFonts w:ascii="Calibri Light" w:eastAsiaTheme="minorHAnsi" w:hAnsi="Calibri Light" w:cs="Calibri Light"/>
                <w:color w:val="000000" w:themeColor="text1"/>
                <w:sz w:val="22"/>
                <w:szCs w:val="22"/>
                <w:lang w:val="ro-RO"/>
              </w:rPr>
              <w:t>angajaţii să lucreze</w:t>
            </w:r>
            <w:r w:rsidRPr="00D50450">
              <w:rPr>
                <w:rFonts w:ascii="Calibri Light" w:eastAsiaTheme="minorHAnsi" w:hAnsi="Calibri Light" w:cs="Calibri Light"/>
                <w:color w:val="000000" w:themeColor="text1"/>
                <w:sz w:val="22"/>
                <w:szCs w:val="22"/>
                <w:lang w:val="ro-RO"/>
              </w:rPr>
              <w:t xml:space="preserve"> într-un alt </w:t>
            </w:r>
            <w:r w:rsidRPr="00D50450">
              <w:rPr>
                <w:rFonts w:ascii="Calibri Light" w:eastAsiaTheme="minorHAnsi" w:hAnsi="Calibri Light" w:cs="Calibri Light"/>
                <w:color w:val="000000" w:themeColor="text1"/>
                <w:sz w:val="22"/>
                <w:szCs w:val="22"/>
                <w:lang w:val="ro-RO"/>
              </w:rPr>
              <w:lastRenderedPageBreak/>
              <w:t>stat membru.</w:t>
            </w:r>
          </w:p>
          <w:p w:rsidR="004449C1" w:rsidRPr="00D50450" w:rsidRDefault="004449C1" w:rsidP="004449C1">
            <w:pPr>
              <w:jc w:val="both"/>
              <w:rPr>
                <w:rFonts w:ascii="Calibri Light" w:hAnsi="Calibri Light" w:cs="Calibri Light"/>
                <w:color w:val="000000" w:themeColor="text1"/>
                <w:lang w:val="ro-RO"/>
              </w:rPr>
            </w:pPr>
          </w:p>
          <w:p w:rsidR="004449C1" w:rsidRPr="00D50450" w:rsidRDefault="004449C1" w:rsidP="004449C1">
            <w:pPr>
              <w:pStyle w:val="HTMLPreformatted"/>
              <w:shd w:val="clear" w:color="auto" w:fill="FFFFFF"/>
              <w:jc w:val="center"/>
              <w:rPr>
                <w:rFonts w:ascii="Calibri Light" w:eastAsiaTheme="minorHAnsi" w:hAnsi="Calibri Light" w:cs="Calibri Light"/>
                <w:b/>
                <w:i/>
                <w:color w:val="000000" w:themeColor="text1"/>
                <w:sz w:val="22"/>
                <w:szCs w:val="22"/>
                <w:lang w:val="ro-RO"/>
              </w:rPr>
            </w:pPr>
            <w:r w:rsidRPr="00D50450">
              <w:rPr>
                <w:rFonts w:ascii="Calibri Light" w:eastAsiaTheme="minorHAnsi" w:hAnsi="Calibri Light" w:cs="Calibri Light"/>
                <w:b/>
                <w:i/>
                <w:color w:val="000000" w:themeColor="text1"/>
                <w:sz w:val="22"/>
                <w:szCs w:val="22"/>
                <w:lang w:val="ro-RO"/>
              </w:rPr>
              <w:t>V.</w:t>
            </w:r>
          </w:p>
          <w:p w:rsidR="004449C1" w:rsidRPr="00D50450" w:rsidRDefault="004449C1" w:rsidP="004449C1">
            <w:pPr>
              <w:pStyle w:val="HTMLPreformatted"/>
              <w:shd w:val="clear" w:color="auto" w:fill="FFFFFF"/>
              <w:jc w:val="center"/>
              <w:rPr>
                <w:rFonts w:ascii="Calibri Light" w:eastAsiaTheme="minorHAnsi" w:hAnsi="Calibri Light" w:cs="Calibri Light"/>
                <w:b/>
                <w:i/>
                <w:color w:val="000000" w:themeColor="text1"/>
                <w:sz w:val="22"/>
                <w:szCs w:val="22"/>
                <w:lang w:val="ro-RO"/>
              </w:rPr>
            </w:pPr>
            <w:r w:rsidRPr="00D50450">
              <w:rPr>
                <w:rFonts w:ascii="Calibri Light" w:eastAsiaTheme="minorHAnsi" w:hAnsi="Calibri Light" w:cs="Calibri Light"/>
                <w:b/>
                <w:i/>
                <w:color w:val="000000" w:themeColor="text1"/>
                <w:sz w:val="22"/>
                <w:szCs w:val="22"/>
                <w:lang w:val="ro-RO"/>
              </w:rPr>
              <w:t xml:space="preserve">Extinderea </w:t>
            </w:r>
            <w:r>
              <w:rPr>
                <w:rFonts w:ascii="Calibri Light" w:eastAsiaTheme="minorHAnsi" w:hAnsi="Calibri Light" w:cs="Calibri Light"/>
                <w:b/>
                <w:i/>
                <w:color w:val="000000" w:themeColor="text1"/>
                <w:sz w:val="22"/>
                <w:szCs w:val="22"/>
                <w:lang w:val="ro-RO"/>
              </w:rPr>
              <w:t>detaşării</w:t>
            </w:r>
            <w:r w:rsidR="00592698">
              <w:rPr>
                <w:rFonts w:ascii="Calibri Light" w:eastAsiaTheme="minorHAnsi" w:hAnsi="Calibri Light" w:cs="Calibri Light"/>
                <w:b/>
                <w:i/>
                <w:color w:val="000000" w:themeColor="text1"/>
                <w:sz w:val="22"/>
                <w:szCs w:val="22"/>
                <w:lang w:val="ro-RO"/>
              </w:rPr>
              <w:t xml:space="preserve"> forţei de muncă</w:t>
            </w:r>
          </w:p>
          <w:p w:rsidR="004449C1" w:rsidRPr="00D50450" w:rsidRDefault="004449C1" w:rsidP="004449C1">
            <w:pPr>
              <w:pStyle w:val="HTMLPreformatted"/>
              <w:shd w:val="clear" w:color="auto" w:fill="FFFFFF"/>
              <w:jc w:val="both"/>
              <w:rPr>
                <w:rFonts w:ascii="Calibri Light" w:eastAsiaTheme="minorHAnsi" w:hAnsi="Calibri Light" w:cs="Calibri Light"/>
                <w:color w:val="000000" w:themeColor="text1"/>
                <w:sz w:val="22"/>
                <w:szCs w:val="22"/>
                <w:lang w:val="ro-RO"/>
              </w:rPr>
            </w:pP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În 2016, în UE existau 2,3 ​​milioane de </w:t>
            </w:r>
            <w:r>
              <w:rPr>
                <w:rFonts w:ascii="Calibri Light" w:eastAsiaTheme="minorHAnsi" w:hAnsi="Calibri Light" w:cs="Calibri Light"/>
                <w:color w:val="000000" w:themeColor="text1"/>
                <w:sz w:val="22"/>
                <w:szCs w:val="22"/>
                <w:lang w:val="ro-RO"/>
              </w:rPr>
              <w:t>angajaţi</w:t>
            </w:r>
            <w:r w:rsidRPr="00D50450">
              <w:rPr>
                <w:rFonts w:ascii="Calibri Light" w:eastAsiaTheme="minorHAnsi" w:hAnsi="Calibri Light" w:cs="Calibri Light"/>
                <w:color w:val="000000" w:themeColor="text1"/>
                <w:sz w:val="22"/>
                <w:szCs w:val="22"/>
                <w:lang w:val="ro-RO"/>
              </w:rPr>
              <w:t xml:space="preserve"> detașați. În perioada 2010-2016 numărul </w:t>
            </w:r>
            <w:r>
              <w:rPr>
                <w:rFonts w:ascii="Calibri Light" w:eastAsiaTheme="minorHAnsi" w:hAnsi="Calibri Light" w:cs="Calibri Light"/>
                <w:color w:val="000000" w:themeColor="text1"/>
                <w:sz w:val="22"/>
                <w:szCs w:val="22"/>
                <w:lang w:val="ro-RO"/>
              </w:rPr>
              <w:t>angajaţilor</w:t>
            </w:r>
            <w:r w:rsidRPr="00D50450">
              <w:rPr>
                <w:rFonts w:ascii="Calibri Light" w:eastAsiaTheme="minorHAnsi" w:hAnsi="Calibri Light" w:cs="Calibri Light"/>
                <w:color w:val="000000" w:themeColor="text1"/>
                <w:sz w:val="22"/>
                <w:szCs w:val="22"/>
                <w:lang w:val="ro-RO"/>
              </w:rPr>
              <w:t xml:space="preserve"> detașați a crescut cu 69%. În pofida unei astfel de creșteri a numărului de </w:t>
            </w:r>
            <w:r>
              <w:rPr>
                <w:rFonts w:ascii="Calibri Light" w:eastAsiaTheme="minorHAnsi" w:hAnsi="Calibri Light" w:cs="Calibri Light"/>
                <w:color w:val="000000" w:themeColor="text1"/>
                <w:sz w:val="22"/>
                <w:szCs w:val="22"/>
                <w:lang w:val="ro-RO"/>
              </w:rPr>
              <w:t>angajaţi</w:t>
            </w:r>
            <w:r w:rsidRPr="00D50450">
              <w:rPr>
                <w:rFonts w:ascii="Calibri Light" w:eastAsiaTheme="minorHAnsi" w:hAnsi="Calibri Light" w:cs="Calibri Light"/>
                <w:color w:val="000000" w:themeColor="text1"/>
                <w:sz w:val="22"/>
                <w:szCs w:val="22"/>
                <w:lang w:val="ro-RO"/>
              </w:rPr>
              <w:t xml:space="preserve"> detașați, procentul </w:t>
            </w:r>
            <w:r>
              <w:rPr>
                <w:rFonts w:ascii="Calibri Light" w:eastAsiaTheme="minorHAnsi" w:hAnsi="Calibri Light" w:cs="Calibri Light"/>
                <w:color w:val="000000" w:themeColor="text1"/>
                <w:sz w:val="22"/>
                <w:szCs w:val="22"/>
                <w:lang w:val="ro-RO"/>
              </w:rPr>
              <w:t>în rândul tuturor angajaților</w:t>
            </w:r>
            <w:r w:rsidRPr="00D50450">
              <w:rPr>
                <w:rFonts w:ascii="Calibri Light" w:eastAsiaTheme="minorHAnsi" w:hAnsi="Calibri Light" w:cs="Calibri Light"/>
                <w:color w:val="000000" w:themeColor="text1"/>
                <w:sz w:val="22"/>
                <w:szCs w:val="22"/>
                <w:lang w:val="ro-RO"/>
              </w:rPr>
              <w:t xml:space="preserve"> din UE nu este foarte ridica</w:t>
            </w:r>
            <w:r>
              <w:rPr>
                <w:rFonts w:ascii="Calibri Light" w:eastAsiaTheme="minorHAnsi" w:hAnsi="Calibri Light" w:cs="Calibri Light"/>
                <w:color w:val="000000" w:themeColor="text1"/>
                <w:sz w:val="22"/>
                <w:szCs w:val="22"/>
                <w:lang w:val="ro-RO"/>
              </w:rPr>
              <w:t xml:space="preserve">t - 0,6%. Durata medie adetaşării </w:t>
            </w:r>
            <w:r w:rsidRPr="00D50450">
              <w:rPr>
                <w:rFonts w:ascii="Calibri Light" w:eastAsiaTheme="minorHAnsi" w:hAnsi="Calibri Light" w:cs="Calibri Light"/>
                <w:color w:val="000000" w:themeColor="text1"/>
                <w:sz w:val="22"/>
                <w:szCs w:val="22"/>
                <w:lang w:val="ro-RO"/>
              </w:rPr>
              <w:t>este de patru luni</w:t>
            </w:r>
            <w:r w:rsidRPr="00AD5767">
              <w:rPr>
                <w:rStyle w:val="FootnoteReference"/>
                <w:rFonts w:ascii="Calibri Light" w:hAnsi="Calibri Light" w:cs="Calibri Light"/>
                <w:color w:val="FF0000"/>
                <w:lang w:val="en-GB"/>
              </w:rPr>
              <w:footnoteReference w:id="5"/>
            </w:r>
            <w:r w:rsidRPr="00D50450">
              <w:rPr>
                <w:rFonts w:ascii="Calibri Light" w:eastAsiaTheme="minorHAnsi" w:hAnsi="Calibri Light" w:cs="Calibri Light"/>
                <w:color w:val="000000" w:themeColor="text1"/>
                <w:sz w:val="22"/>
                <w:szCs w:val="22"/>
                <w:lang w:val="ro-RO"/>
              </w:rPr>
              <w:t>.</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Polonia este una dintre țările care </w:t>
            </w:r>
            <w:r>
              <w:rPr>
                <w:rFonts w:ascii="Calibri Light" w:eastAsiaTheme="minorHAnsi" w:hAnsi="Calibri Light" w:cs="Calibri Light"/>
                <w:color w:val="000000" w:themeColor="text1"/>
                <w:sz w:val="22"/>
                <w:szCs w:val="22"/>
                <w:lang w:val="ro-RO"/>
              </w:rPr>
              <w:t>detaşează</w:t>
            </w:r>
            <w:r w:rsidRPr="00D50450">
              <w:rPr>
                <w:rFonts w:ascii="Calibri Light" w:eastAsiaTheme="minorHAnsi" w:hAnsi="Calibri Light" w:cs="Calibri Light"/>
                <w:color w:val="000000" w:themeColor="text1"/>
                <w:sz w:val="22"/>
                <w:szCs w:val="22"/>
                <w:lang w:val="ro-RO"/>
              </w:rPr>
              <w:t xml:space="preserve"> cel mai mare număr de </w:t>
            </w:r>
            <w:r>
              <w:rPr>
                <w:rFonts w:ascii="Calibri Light" w:eastAsiaTheme="minorHAnsi" w:hAnsi="Calibri Light" w:cs="Calibri Light"/>
                <w:color w:val="000000" w:themeColor="text1"/>
                <w:sz w:val="22"/>
                <w:szCs w:val="22"/>
                <w:lang w:val="ro-RO"/>
              </w:rPr>
              <w:t>angajaţi</w:t>
            </w:r>
            <w:r w:rsidRPr="00D50450">
              <w:rPr>
                <w:rFonts w:ascii="Calibri Light" w:eastAsiaTheme="minorHAnsi" w:hAnsi="Calibri Light" w:cs="Calibri Light"/>
                <w:color w:val="000000" w:themeColor="text1"/>
                <w:sz w:val="22"/>
                <w:szCs w:val="22"/>
                <w:lang w:val="ro-RO"/>
              </w:rPr>
              <w:t xml:space="preserve">. În 2016, a fost mai mult de o jumătate de milion de persoane, ceea ce, la rândul său, înseamnă că aproximativ 20% dintre </w:t>
            </w:r>
            <w:r>
              <w:rPr>
                <w:rFonts w:ascii="Calibri Light" w:eastAsiaTheme="minorHAnsi" w:hAnsi="Calibri Light" w:cs="Calibri Light"/>
                <w:color w:val="000000" w:themeColor="text1"/>
                <w:sz w:val="22"/>
                <w:szCs w:val="22"/>
                <w:lang w:val="ro-RO"/>
              </w:rPr>
              <w:t>angajaţii</w:t>
            </w:r>
            <w:r w:rsidRPr="00D50450">
              <w:rPr>
                <w:rFonts w:ascii="Calibri Light" w:eastAsiaTheme="minorHAnsi" w:hAnsi="Calibri Light" w:cs="Calibri Light"/>
                <w:color w:val="000000" w:themeColor="text1"/>
                <w:sz w:val="22"/>
                <w:szCs w:val="22"/>
                <w:lang w:val="ro-RO"/>
              </w:rPr>
              <w:t xml:space="preserve"> detașați din UE provin din Polonia. În ultimii ani, cel mai mare număr de persoane a fost trimis în Germania (440 mii), Franța (203 mii) și Belgia (178 mii). </w:t>
            </w:r>
            <w:r>
              <w:rPr>
                <w:rFonts w:ascii="Calibri Light" w:eastAsiaTheme="minorHAnsi" w:hAnsi="Calibri Light" w:cs="Calibri Light"/>
                <w:color w:val="000000" w:themeColor="text1"/>
                <w:sz w:val="22"/>
                <w:szCs w:val="22"/>
                <w:lang w:val="ro-RO"/>
              </w:rPr>
              <w:t>Angajaţii</w:t>
            </w:r>
            <w:r w:rsidRPr="00D50450">
              <w:rPr>
                <w:rFonts w:ascii="Calibri Light" w:eastAsiaTheme="minorHAnsi" w:hAnsi="Calibri Light" w:cs="Calibri Light"/>
                <w:color w:val="000000" w:themeColor="text1"/>
                <w:sz w:val="22"/>
                <w:szCs w:val="22"/>
                <w:lang w:val="ro-RO"/>
              </w:rPr>
              <w:t xml:space="preserve"> sunt detașați în industrie (aproximativ 70%), sectorul serviciilor (29%). Cei mai puțini </w:t>
            </w:r>
            <w:r>
              <w:rPr>
                <w:rFonts w:ascii="Calibri Light" w:eastAsiaTheme="minorHAnsi" w:hAnsi="Calibri Light" w:cs="Calibri Light"/>
                <w:color w:val="000000" w:themeColor="text1"/>
                <w:sz w:val="22"/>
                <w:szCs w:val="22"/>
                <w:lang w:val="ro-RO"/>
              </w:rPr>
              <w:t>angajaţi</w:t>
            </w:r>
            <w:r w:rsidRPr="00D50450">
              <w:rPr>
                <w:rFonts w:ascii="Calibri Light" w:eastAsiaTheme="minorHAnsi" w:hAnsi="Calibri Light" w:cs="Calibri Light"/>
                <w:color w:val="000000" w:themeColor="text1"/>
                <w:sz w:val="22"/>
                <w:szCs w:val="22"/>
                <w:lang w:val="ro-RO"/>
              </w:rPr>
              <w:t xml:space="preserve"> sunt detașați </w:t>
            </w:r>
            <w:r>
              <w:rPr>
                <w:rFonts w:ascii="Calibri Light" w:eastAsiaTheme="minorHAnsi" w:hAnsi="Calibri Light" w:cs="Calibri Light"/>
                <w:color w:val="000000" w:themeColor="text1"/>
                <w:sz w:val="22"/>
                <w:szCs w:val="22"/>
                <w:lang w:val="ro-RO"/>
              </w:rPr>
              <w:t>pe locuri de muncă din</w:t>
            </w:r>
            <w:r w:rsidRPr="00D50450">
              <w:rPr>
                <w:rFonts w:ascii="Calibri Light" w:eastAsiaTheme="minorHAnsi" w:hAnsi="Calibri Light" w:cs="Calibri Light"/>
                <w:color w:val="000000" w:themeColor="text1"/>
                <w:sz w:val="22"/>
                <w:szCs w:val="22"/>
                <w:lang w:val="ro-RO"/>
              </w:rPr>
              <w:t xml:space="preserve"> agricultură, vânătoare și pescuit (1,55%).</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F6345F">
              <w:rPr>
                <w:rFonts w:ascii="Calibri Light" w:eastAsiaTheme="minorHAnsi" w:hAnsi="Calibri Light" w:cs="Calibri Light"/>
                <w:sz w:val="22"/>
                <w:szCs w:val="22"/>
                <w:lang w:val="ro-RO"/>
              </w:rPr>
              <w:t xml:space="preserve">Problema detașării este, de asemenea, semnificativă pentru </w:t>
            </w:r>
            <w:r w:rsidRPr="00D50450">
              <w:rPr>
                <w:rFonts w:ascii="Calibri Light" w:eastAsiaTheme="minorHAnsi" w:hAnsi="Calibri Light" w:cs="Calibri Light"/>
                <w:color w:val="000000" w:themeColor="text1"/>
                <w:sz w:val="22"/>
                <w:szCs w:val="22"/>
                <w:lang w:val="ro-RO"/>
              </w:rPr>
              <w:t xml:space="preserve">noile state membre pentru care detașarea </w:t>
            </w:r>
            <w:r>
              <w:rPr>
                <w:rFonts w:ascii="Calibri Light" w:eastAsiaTheme="minorHAnsi" w:hAnsi="Calibri Light" w:cs="Calibri Light"/>
                <w:color w:val="000000" w:themeColor="text1"/>
                <w:sz w:val="22"/>
                <w:szCs w:val="22"/>
                <w:lang w:val="ro-RO"/>
              </w:rPr>
              <w:t>angajaţilor</w:t>
            </w:r>
            <w:r w:rsidRPr="00D50450">
              <w:rPr>
                <w:rFonts w:ascii="Calibri Light" w:eastAsiaTheme="minorHAnsi" w:hAnsi="Calibri Light" w:cs="Calibri Light"/>
                <w:color w:val="000000" w:themeColor="text1"/>
                <w:sz w:val="22"/>
                <w:szCs w:val="22"/>
                <w:lang w:val="ro-RO"/>
              </w:rPr>
              <w:t xml:space="preserve"> poate fi o alternativă la emigrarea economică și reprezintă o șa</w:t>
            </w:r>
            <w:r>
              <w:rPr>
                <w:rFonts w:ascii="Calibri Light" w:eastAsiaTheme="minorHAnsi" w:hAnsi="Calibri Light" w:cs="Calibri Light"/>
                <w:color w:val="000000" w:themeColor="text1"/>
                <w:sz w:val="22"/>
                <w:szCs w:val="22"/>
                <w:lang w:val="ro-RO"/>
              </w:rPr>
              <w:t>nsă pentru dezvoltarea companiilor</w:t>
            </w:r>
            <w:r w:rsidRPr="00D50450">
              <w:rPr>
                <w:rFonts w:ascii="Calibri Light" w:eastAsiaTheme="minorHAnsi" w:hAnsi="Calibri Light" w:cs="Calibri Light"/>
                <w:color w:val="000000" w:themeColor="text1"/>
                <w:sz w:val="22"/>
                <w:szCs w:val="22"/>
                <w:lang w:val="ro-RO"/>
              </w:rPr>
              <w:t xml:space="preserve">. Se indică faptul că serviciile furnizate </w:t>
            </w:r>
            <w:r>
              <w:rPr>
                <w:rFonts w:ascii="Calibri Light" w:eastAsiaTheme="minorHAnsi" w:hAnsi="Calibri Light" w:cs="Calibri Light"/>
                <w:color w:val="000000" w:themeColor="text1"/>
                <w:sz w:val="22"/>
                <w:szCs w:val="22"/>
                <w:lang w:val="ro-RO"/>
              </w:rPr>
              <w:t>prin intermediul</w:t>
            </w:r>
            <w:r w:rsidRPr="00D50450">
              <w:rPr>
                <w:rFonts w:ascii="Calibri Light" w:eastAsiaTheme="minorHAnsi" w:hAnsi="Calibri Light" w:cs="Calibri Light"/>
                <w:color w:val="000000" w:themeColor="text1"/>
                <w:sz w:val="22"/>
                <w:szCs w:val="22"/>
                <w:lang w:val="ro-RO"/>
              </w:rPr>
              <w:t xml:space="preserve"> detașării </w:t>
            </w:r>
            <w:r>
              <w:rPr>
                <w:rFonts w:ascii="Calibri Light" w:eastAsiaTheme="minorHAnsi" w:hAnsi="Calibri Light" w:cs="Calibri Light"/>
                <w:color w:val="000000" w:themeColor="text1"/>
                <w:sz w:val="22"/>
                <w:szCs w:val="22"/>
                <w:lang w:val="ro-RO"/>
              </w:rPr>
              <w:t>angajaţilor</w:t>
            </w:r>
            <w:r w:rsidRPr="00D50450">
              <w:rPr>
                <w:rFonts w:ascii="Calibri Light" w:eastAsiaTheme="minorHAnsi" w:hAnsi="Calibri Light" w:cs="Calibri Light"/>
                <w:color w:val="000000" w:themeColor="text1"/>
                <w:sz w:val="22"/>
                <w:szCs w:val="22"/>
                <w:lang w:val="ro-RO"/>
              </w:rPr>
              <w:t xml:space="preserve"> reprezintă unul dintre puținele avantaje competitive ale acelor economii din UE.</w:t>
            </w:r>
          </w:p>
          <w:p w:rsidR="004449C1" w:rsidRPr="00D50450" w:rsidRDefault="004449C1" w:rsidP="004449C1">
            <w:pPr>
              <w:jc w:val="both"/>
              <w:rPr>
                <w:rFonts w:ascii="Calibri Light" w:hAnsi="Calibri Light" w:cs="Calibri Light"/>
                <w:color w:val="000000" w:themeColor="text1"/>
                <w:lang w:val="ro-RO"/>
              </w:rPr>
            </w:pPr>
          </w:p>
          <w:p w:rsidR="004449C1" w:rsidRPr="00363626" w:rsidRDefault="004449C1" w:rsidP="004449C1">
            <w:pPr>
              <w:pStyle w:val="HTMLPreformatted"/>
              <w:shd w:val="clear" w:color="auto" w:fill="FFFFFF"/>
              <w:jc w:val="center"/>
              <w:rPr>
                <w:rFonts w:ascii="Calibri Light" w:eastAsiaTheme="minorHAnsi" w:hAnsi="Calibri Light" w:cs="Calibri Light"/>
                <w:b/>
                <w:i/>
                <w:color w:val="000000" w:themeColor="text1"/>
                <w:sz w:val="22"/>
                <w:szCs w:val="22"/>
                <w:lang w:val="ro-RO"/>
              </w:rPr>
            </w:pPr>
            <w:r w:rsidRPr="00363626">
              <w:rPr>
                <w:rFonts w:ascii="Calibri Light" w:eastAsiaTheme="minorHAnsi" w:hAnsi="Calibri Light" w:cs="Calibri Light"/>
                <w:b/>
                <w:i/>
                <w:color w:val="000000" w:themeColor="text1"/>
                <w:sz w:val="22"/>
                <w:szCs w:val="22"/>
                <w:lang w:val="ro-RO"/>
              </w:rPr>
              <w:t>VI.</w:t>
            </w:r>
          </w:p>
          <w:p w:rsidR="004449C1" w:rsidRPr="00D50450" w:rsidRDefault="004449C1" w:rsidP="004449C1">
            <w:pPr>
              <w:pStyle w:val="HTMLPreformatted"/>
              <w:shd w:val="clear" w:color="auto" w:fill="FFFFFF"/>
              <w:jc w:val="center"/>
              <w:rPr>
                <w:rFonts w:ascii="Calibri Light" w:eastAsiaTheme="minorHAnsi" w:hAnsi="Calibri Light" w:cs="Calibri Light"/>
                <w:b/>
                <w:i/>
                <w:color w:val="000000" w:themeColor="text1"/>
                <w:sz w:val="22"/>
                <w:szCs w:val="22"/>
                <w:lang w:val="ro-RO"/>
              </w:rPr>
            </w:pPr>
            <w:r w:rsidRPr="00D50450">
              <w:rPr>
                <w:rFonts w:ascii="Calibri Light" w:eastAsiaTheme="minorHAnsi" w:hAnsi="Calibri Light" w:cs="Calibri Light"/>
                <w:b/>
                <w:i/>
                <w:color w:val="000000" w:themeColor="text1"/>
                <w:sz w:val="22"/>
                <w:szCs w:val="22"/>
                <w:lang w:val="ro-RO"/>
              </w:rPr>
              <w:t>Cooperarea partenerilor sociali și a altor entități</w:t>
            </w:r>
          </w:p>
          <w:p w:rsidR="004449C1" w:rsidRPr="00D50450" w:rsidRDefault="004449C1" w:rsidP="004449C1">
            <w:pPr>
              <w:pStyle w:val="HTMLPreformatted"/>
              <w:shd w:val="clear" w:color="auto" w:fill="FFFFFF"/>
              <w:jc w:val="both"/>
              <w:rPr>
                <w:rFonts w:ascii="Calibri Light" w:eastAsiaTheme="minorHAnsi" w:hAnsi="Calibri Light" w:cs="Calibri Light"/>
                <w:color w:val="000000" w:themeColor="text1"/>
                <w:sz w:val="22"/>
                <w:szCs w:val="22"/>
                <w:lang w:val="ro-RO"/>
              </w:rPr>
            </w:pP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Directiva de </w:t>
            </w:r>
            <w:r>
              <w:rPr>
                <w:rFonts w:ascii="Calibri Light" w:eastAsiaTheme="minorHAnsi" w:hAnsi="Calibri Light" w:cs="Calibri Light"/>
                <w:color w:val="000000" w:themeColor="text1"/>
                <w:sz w:val="22"/>
                <w:szCs w:val="22"/>
                <w:lang w:val="ro-RO"/>
              </w:rPr>
              <w:t>implementare</w:t>
            </w:r>
            <w:r w:rsidRPr="00D50450">
              <w:rPr>
                <w:rFonts w:ascii="Calibri Light" w:eastAsiaTheme="minorHAnsi" w:hAnsi="Calibri Light" w:cs="Calibri Light"/>
                <w:color w:val="000000" w:themeColor="text1"/>
                <w:sz w:val="22"/>
                <w:szCs w:val="22"/>
                <w:lang w:val="ro-RO"/>
              </w:rPr>
              <w:t xml:space="preserve"> subliniază importanța enormă sau chiar esențială a inspectoratelor naționale de muncă, a organizațiilor partenerilor sociali și a altor organisme de monitorizare. Sindicatele au posibilitatea de a depune plângeri și de a iniția acțiuni legale sau administrative împotriva angajatorilor care încalcă drepturile </w:t>
            </w:r>
            <w:r>
              <w:rPr>
                <w:rFonts w:ascii="Calibri Light" w:eastAsiaTheme="minorHAnsi" w:hAnsi="Calibri Light" w:cs="Calibri Light"/>
                <w:color w:val="000000" w:themeColor="text1"/>
                <w:sz w:val="22"/>
                <w:szCs w:val="22"/>
                <w:lang w:val="ro-RO"/>
              </w:rPr>
              <w:t>angajaţilor</w:t>
            </w:r>
            <w:r w:rsidRPr="00D50450">
              <w:rPr>
                <w:rFonts w:ascii="Calibri Light" w:eastAsiaTheme="minorHAnsi" w:hAnsi="Calibri Light" w:cs="Calibri Light"/>
                <w:color w:val="000000" w:themeColor="text1"/>
                <w:sz w:val="22"/>
                <w:szCs w:val="22"/>
                <w:lang w:val="ro-RO"/>
              </w:rPr>
              <w:t xml:space="preserve"> detașați. Partenerii sociali au informații care ar trebui să fie puse la dispoziția unui grup mai </w:t>
            </w:r>
            <w:r>
              <w:rPr>
                <w:rFonts w:ascii="Calibri Light" w:eastAsiaTheme="minorHAnsi" w:hAnsi="Calibri Light" w:cs="Calibri Light"/>
                <w:color w:val="000000" w:themeColor="text1"/>
                <w:sz w:val="22"/>
                <w:szCs w:val="22"/>
                <w:lang w:val="ro-RO"/>
              </w:rPr>
              <w:t>mare</w:t>
            </w:r>
            <w:r w:rsidRPr="00D50450">
              <w:rPr>
                <w:rFonts w:ascii="Calibri Light" w:eastAsiaTheme="minorHAnsi" w:hAnsi="Calibri Light" w:cs="Calibri Light"/>
                <w:color w:val="000000" w:themeColor="text1"/>
                <w:sz w:val="22"/>
                <w:szCs w:val="22"/>
                <w:lang w:val="ro-RO"/>
              </w:rPr>
              <w:t xml:space="preserve"> de destinatari, de ex. în ceea ce privește ratele minime de salarizare valabile sau soluțiile care funcționează în contractele colective de muncă. Factorii care sunt extrem de importanți în cazul cooperării sunt încrederea reciprocă, spiritul de cooperare, dialogul permanent și înțelegerea reciprocă, precum și eliminarea stereotipurilor dăunătoare între membrii sindicatelor și angajatori. Comunicarea eficientă și fără prejudecăți între aceste entități poate fi esențială pentru monitorizarea și prevenirea încălcării drepturilor </w:t>
            </w:r>
            <w:r>
              <w:rPr>
                <w:rFonts w:ascii="Calibri Light" w:eastAsiaTheme="minorHAnsi" w:hAnsi="Calibri Light" w:cs="Calibri Light"/>
                <w:color w:val="000000" w:themeColor="text1"/>
                <w:sz w:val="22"/>
                <w:szCs w:val="22"/>
                <w:lang w:val="ro-RO"/>
              </w:rPr>
              <w:t>angajaţilor</w:t>
            </w:r>
            <w:r w:rsidRPr="00D50450">
              <w:rPr>
                <w:rFonts w:ascii="Calibri Light" w:eastAsiaTheme="minorHAnsi" w:hAnsi="Calibri Light" w:cs="Calibri Light"/>
                <w:color w:val="000000" w:themeColor="text1"/>
                <w:sz w:val="22"/>
                <w:szCs w:val="22"/>
                <w:lang w:val="ro-RO"/>
              </w:rPr>
              <w:t xml:space="preserve"> detașați.</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În cooperarea partenerilor sociali, este posibil să se îmbunătățească cu siguranță accesul la informații pentru toate părțile: </w:t>
            </w:r>
            <w:r>
              <w:rPr>
                <w:rFonts w:ascii="Calibri Light" w:eastAsiaTheme="minorHAnsi" w:hAnsi="Calibri Light" w:cs="Calibri Light"/>
                <w:color w:val="000000" w:themeColor="text1"/>
                <w:sz w:val="22"/>
                <w:szCs w:val="22"/>
                <w:lang w:val="ro-RO"/>
              </w:rPr>
              <w:t>angajaţi</w:t>
            </w:r>
            <w:r w:rsidRPr="00D50450">
              <w:rPr>
                <w:rFonts w:ascii="Calibri Light" w:eastAsiaTheme="minorHAnsi" w:hAnsi="Calibri Light" w:cs="Calibri Light"/>
                <w:color w:val="000000" w:themeColor="text1"/>
                <w:sz w:val="22"/>
                <w:szCs w:val="22"/>
                <w:lang w:val="ro-RO"/>
              </w:rPr>
              <w:t xml:space="preserve">, angajatori și organisme de control. Deoarece, fără îndoială, una dintre problemele fundamentale ale detașării </w:t>
            </w:r>
            <w:r>
              <w:rPr>
                <w:rFonts w:ascii="Calibri Light" w:eastAsiaTheme="minorHAnsi" w:hAnsi="Calibri Light" w:cs="Calibri Light"/>
                <w:color w:val="000000" w:themeColor="text1"/>
                <w:sz w:val="22"/>
                <w:szCs w:val="22"/>
                <w:lang w:val="ro-RO"/>
              </w:rPr>
              <w:t xml:space="preserve">forţei de muncă </w:t>
            </w:r>
            <w:r w:rsidRPr="00D50450">
              <w:rPr>
                <w:rFonts w:ascii="Calibri Light" w:eastAsiaTheme="minorHAnsi" w:hAnsi="Calibri Light" w:cs="Calibri Light"/>
                <w:color w:val="000000" w:themeColor="text1"/>
                <w:sz w:val="22"/>
                <w:szCs w:val="22"/>
                <w:lang w:val="ro-RO"/>
              </w:rPr>
              <w:t xml:space="preserve">este cunoașterea insuficientă sau lipsa acesteia în domeniul condițiilor de muncă, </w:t>
            </w:r>
            <w:r>
              <w:rPr>
                <w:rFonts w:ascii="Calibri Light" w:eastAsiaTheme="minorHAnsi" w:hAnsi="Calibri Light" w:cs="Calibri Light"/>
                <w:color w:val="000000" w:themeColor="text1"/>
                <w:sz w:val="22"/>
                <w:szCs w:val="22"/>
                <w:lang w:val="ro-RO"/>
              </w:rPr>
              <w:t>la</w:t>
            </w:r>
            <w:r w:rsidRPr="00D50450">
              <w:rPr>
                <w:rFonts w:ascii="Calibri Light" w:eastAsiaTheme="minorHAnsi" w:hAnsi="Calibri Light" w:cs="Calibri Light"/>
                <w:color w:val="000000" w:themeColor="text1"/>
                <w:sz w:val="22"/>
                <w:szCs w:val="22"/>
                <w:lang w:val="ro-RO"/>
              </w:rPr>
              <w:t xml:space="preserve"> care persoanele care furnizează locul de muncă în țările UE au dreptul. UE este alcătuită din 28 de țări și fiecare reglementează în mod diferit condițiile de muncă și de salarizare; ratele minime de </w:t>
            </w:r>
            <w:r>
              <w:rPr>
                <w:rFonts w:ascii="Calibri Light" w:eastAsiaTheme="minorHAnsi" w:hAnsi="Calibri Light" w:cs="Calibri Light"/>
                <w:color w:val="000000" w:themeColor="text1"/>
                <w:sz w:val="22"/>
                <w:szCs w:val="22"/>
                <w:lang w:val="ro-RO"/>
              </w:rPr>
              <w:t>salarizare</w:t>
            </w:r>
            <w:r w:rsidRPr="00D50450">
              <w:rPr>
                <w:rFonts w:ascii="Calibri Light" w:eastAsiaTheme="minorHAnsi" w:hAnsi="Calibri Light" w:cs="Calibri Light"/>
                <w:color w:val="000000" w:themeColor="text1"/>
                <w:sz w:val="22"/>
                <w:szCs w:val="22"/>
                <w:lang w:val="ro-RO"/>
              </w:rPr>
              <w:t xml:space="preserve"> sunt, de asemenea, diferite. Prin urmare, printre numeroasele reglementări din </w:t>
            </w:r>
            <w:r>
              <w:rPr>
                <w:rFonts w:ascii="Calibri Light" w:eastAsiaTheme="minorHAnsi" w:hAnsi="Calibri Light" w:cs="Calibri Light"/>
                <w:color w:val="000000" w:themeColor="text1"/>
                <w:sz w:val="22"/>
                <w:szCs w:val="22"/>
                <w:lang w:val="ro-RO"/>
              </w:rPr>
              <w:t>diferite</w:t>
            </w:r>
            <w:r w:rsidRPr="00D50450">
              <w:rPr>
                <w:rFonts w:ascii="Calibri Light" w:eastAsiaTheme="minorHAnsi" w:hAnsi="Calibri Light" w:cs="Calibri Light"/>
                <w:color w:val="000000" w:themeColor="text1"/>
                <w:sz w:val="22"/>
                <w:szCs w:val="22"/>
                <w:lang w:val="ro-RO"/>
              </w:rPr>
              <w:t xml:space="preserve"> țări, este dificil să se găsească o reglementare adecvată aplicabilă unei situații specifice a unui </w:t>
            </w:r>
            <w:r>
              <w:rPr>
                <w:rFonts w:ascii="Calibri Light" w:eastAsiaTheme="minorHAnsi" w:hAnsi="Calibri Light" w:cs="Calibri Light"/>
                <w:color w:val="000000" w:themeColor="text1"/>
                <w:sz w:val="22"/>
                <w:szCs w:val="22"/>
                <w:lang w:val="ro-RO"/>
              </w:rPr>
              <w:t>anumit angajat</w:t>
            </w:r>
            <w:r w:rsidRPr="00D50450">
              <w:rPr>
                <w:rFonts w:ascii="Calibri Light" w:eastAsiaTheme="minorHAnsi" w:hAnsi="Calibri Light" w:cs="Calibri Light"/>
                <w:color w:val="000000" w:themeColor="text1"/>
                <w:sz w:val="22"/>
                <w:szCs w:val="22"/>
                <w:lang w:val="ro-RO"/>
              </w:rPr>
              <w:t xml:space="preserve"> detașat. O problemă </w:t>
            </w:r>
            <w:r>
              <w:rPr>
                <w:rFonts w:ascii="Calibri Light" w:eastAsiaTheme="minorHAnsi" w:hAnsi="Calibri Light" w:cs="Calibri Light"/>
                <w:color w:val="000000" w:themeColor="text1"/>
                <w:sz w:val="22"/>
                <w:szCs w:val="22"/>
                <w:lang w:val="ro-RO"/>
              </w:rPr>
              <w:t>în</w:t>
            </w:r>
            <w:r w:rsidRPr="00D50450">
              <w:rPr>
                <w:rFonts w:ascii="Calibri Light" w:eastAsiaTheme="minorHAnsi" w:hAnsi="Calibri Light" w:cs="Calibri Light"/>
                <w:color w:val="000000" w:themeColor="text1"/>
                <w:sz w:val="22"/>
                <w:szCs w:val="22"/>
                <w:lang w:val="ro-RO"/>
              </w:rPr>
              <w:t xml:space="preserve"> dobândirea cunoștințelor este, de asemenea, asociată cu problemele </w:t>
            </w:r>
            <w:r>
              <w:rPr>
                <w:rFonts w:ascii="Calibri Light" w:eastAsiaTheme="minorHAnsi" w:hAnsi="Calibri Light" w:cs="Calibri Light"/>
                <w:color w:val="000000" w:themeColor="text1"/>
                <w:sz w:val="22"/>
                <w:szCs w:val="22"/>
                <w:lang w:val="ro-RO"/>
              </w:rPr>
              <w:t>de limbă</w:t>
            </w:r>
            <w:r w:rsidRPr="00D50450">
              <w:rPr>
                <w:rFonts w:ascii="Calibri Light" w:eastAsiaTheme="minorHAnsi" w:hAnsi="Calibri Light" w:cs="Calibri Light"/>
                <w:color w:val="000000" w:themeColor="text1"/>
                <w:sz w:val="22"/>
                <w:szCs w:val="22"/>
                <w:lang w:val="ro-RO"/>
              </w:rPr>
              <w:t xml:space="preserve">. </w:t>
            </w:r>
            <w:r>
              <w:rPr>
                <w:rFonts w:ascii="Calibri Light" w:eastAsiaTheme="minorHAnsi" w:hAnsi="Calibri Light" w:cs="Calibri Light"/>
                <w:color w:val="000000" w:themeColor="text1"/>
                <w:sz w:val="22"/>
                <w:szCs w:val="22"/>
                <w:lang w:val="ro-RO"/>
              </w:rPr>
              <w:t>Angajaţii</w:t>
            </w:r>
            <w:r w:rsidRPr="00D50450">
              <w:rPr>
                <w:rFonts w:ascii="Calibri Light" w:eastAsiaTheme="minorHAnsi" w:hAnsi="Calibri Light" w:cs="Calibri Light"/>
                <w:color w:val="000000" w:themeColor="text1"/>
                <w:sz w:val="22"/>
                <w:szCs w:val="22"/>
                <w:lang w:val="ro-RO"/>
              </w:rPr>
              <w:t xml:space="preserve"> detașați nu cunosc </w:t>
            </w:r>
            <w:r>
              <w:rPr>
                <w:rFonts w:ascii="Calibri Light" w:eastAsiaTheme="minorHAnsi" w:hAnsi="Calibri Light" w:cs="Calibri Light"/>
                <w:color w:val="000000" w:themeColor="text1"/>
                <w:sz w:val="22"/>
                <w:szCs w:val="22"/>
                <w:lang w:val="ro-RO"/>
              </w:rPr>
              <w:t>de cele mai multe ori limb</w:t>
            </w:r>
            <w:r w:rsidRPr="00D50450">
              <w:rPr>
                <w:rFonts w:ascii="Calibri Light" w:eastAsiaTheme="minorHAnsi" w:hAnsi="Calibri Light" w:cs="Calibri Light"/>
                <w:color w:val="000000" w:themeColor="text1"/>
                <w:sz w:val="22"/>
                <w:szCs w:val="22"/>
                <w:lang w:val="ro-RO"/>
              </w:rPr>
              <w:t xml:space="preserve">a unei țări, ceea ce face dificilă funcționarea într-un mediu necunoscut. Prin urmare, pe lângă cerințele de informare care trebuie îndeplinite de fiecare țară a UE, partenerii sociali pot crea propriile portaluri de informare pentru </w:t>
            </w:r>
            <w:r>
              <w:rPr>
                <w:rFonts w:ascii="Calibri Light" w:eastAsiaTheme="minorHAnsi" w:hAnsi="Calibri Light" w:cs="Calibri Light"/>
                <w:color w:val="000000" w:themeColor="text1"/>
                <w:sz w:val="22"/>
                <w:szCs w:val="22"/>
                <w:lang w:val="ro-RO"/>
              </w:rPr>
              <w:t>angajaţii</w:t>
            </w:r>
            <w:r w:rsidRPr="00D50450">
              <w:rPr>
                <w:rFonts w:ascii="Calibri Light" w:eastAsiaTheme="minorHAnsi" w:hAnsi="Calibri Light" w:cs="Calibri Light"/>
                <w:color w:val="000000" w:themeColor="text1"/>
                <w:sz w:val="22"/>
                <w:szCs w:val="22"/>
                <w:lang w:val="ro-RO"/>
              </w:rPr>
              <w:t xml:space="preserve"> detașați (site-uri web, pliante, publicații, acțiuni informative etc.).</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În </w:t>
            </w:r>
            <w:r>
              <w:rPr>
                <w:rFonts w:ascii="Calibri Light" w:eastAsiaTheme="minorHAnsi" w:hAnsi="Calibri Light" w:cs="Calibri Light"/>
                <w:color w:val="000000" w:themeColor="text1"/>
                <w:sz w:val="22"/>
                <w:szCs w:val="22"/>
                <w:lang w:val="ro-RO"/>
              </w:rPr>
              <w:t>acest caz</w:t>
            </w:r>
            <w:r w:rsidRPr="00D50450">
              <w:rPr>
                <w:rFonts w:ascii="Calibri Light" w:eastAsiaTheme="minorHAnsi" w:hAnsi="Calibri Light" w:cs="Calibri Light"/>
                <w:color w:val="000000" w:themeColor="text1"/>
                <w:sz w:val="22"/>
                <w:szCs w:val="22"/>
                <w:lang w:val="ro-RO"/>
              </w:rPr>
              <w:t xml:space="preserve">, nu există nimic în calea combinării eforturilor și a creării unei mari surse de informații privind condițiile de angajare într-o anumită țară, referindu-se, în special, la condițiile dintr-o anumită industrie sau ramură a economiei. Cunoașterea partenerilor sociali în acest sens - care își desfășoară activitatea în industria lor timp de mulți ani și </w:t>
            </w:r>
            <w:r>
              <w:rPr>
                <w:rFonts w:ascii="Calibri Light" w:eastAsiaTheme="minorHAnsi" w:hAnsi="Calibri Light" w:cs="Calibri Light"/>
                <w:color w:val="000000" w:themeColor="text1"/>
                <w:sz w:val="22"/>
                <w:szCs w:val="22"/>
                <w:lang w:val="ro-RO"/>
              </w:rPr>
              <w:t>sunt</w:t>
            </w:r>
            <w:r w:rsidRPr="00D50450">
              <w:rPr>
                <w:rFonts w:ascii="Calibri Light" w:eastAsiaTheme="minorHAnsi" w:hAnsi="Calibri Light" w:cs="Calibri Light"/>
                <w:color w:val="000000" w:themeColor="text1"/>
                <w:sz w:val="22"/>
                <w:szCs w:val="22"/>
                <w:lang w:val="ro-RO"/>
              </w:rPr>
              <w:t xml:space="preserve"> familiariza</w:t>
            </w:r>
            <w:r>
              <w:rPr>
                <w:rFonts w:ascii="Calibri Light" w:eastAsiaTheme="minorHAnsi" w:hAnsi="Calibri Light" w:cs="Calibri Light"/>
                <w:color w:val="000000" w:themeColor="text1"/>
                <w:sz w:val="22"/>
                <w:szCs w:val="22"/>
                <w:lang w:val="ro-RO"/>
              </w:rPr>
              <w:t>ţi</w:t>
            </w:r>
            <w:r w:rsidRPr="00D50450">
              <w:rPr>
                <w:rFonts w:ascii="Calibri Light" w:eastAsiaTheme="minorHAnsi" w:hAnsi="Calibri Light" w:cs="Calibri Light"/>
                <w:color w:val="000000" w:themeColor="text1"/>
                <w:sz w:val="22"/>
                <w:szCs w:val="22"/>
                <w:lang w:val="ro-RO"/>
              </w:rPr>
              <w:t xml:space="preserve"> atât cu reglementările legale generale, cât și cu cele detaliate - este extrem de importantă. Utilizarea acestui potențial ar avea cu siguranță o influență pozitivă asupra situației </w:t>
            </w:r>
            <w:r>
              <w:rPr>
                <w:rFonts w:ascii="Calibri Light" w:eastAsiaTheme="minorHAnsi" w:hAnsi="Calibri Light" w:cs="Calibri Light"/>
                <w:color w:val="000000" w:themeColor="text1"/>
                <w:sz w:val="22"/>
                <w:szCs w:val="22"/>
                <w:lang w:val="ro-RO"/>
              </w:rPr>
              <w:t>angajaţilor</w:t>
            </w:r>
            <w:r w:rsidRPr="00D50450">
              <w:rPr>
                <w:rFonts w:ascii="Calibri Light" w:eastAsiaTheme="minorHAnsi" w:hAnsi="Calibri Light" w:cs="Calibri Light"/>
                <w:color w:val="000000" w:themeColor="text1"/>
                <w:sz w:val="22"/>
                <w:szCs w:val="22"/>
                <w:lang w:val="ro-RO"/>
              </w:rPr>
              <w:t xml:space="preserve"> detașați și ar promova o concurență sănătoasă între angajatori (de exemplu, prin </w:t>
            </w:r>
            <w:r w:rsidRPr="00D50450">
              <w:rPr>
                <w:rFonts w:ascii="Calibri Light" w:eastAsiaTheme="minorHAnsi" w:hAnsi="Calibri Light" w:cs="Calibri Light"/>
                <w:color w:val="000000" w:themeColor="text1"/>
                <w:sz w:val="22"/>
                <w:szCs w:val="22"/>
                <w:lang w:val="ro-RO"/>
              </w:rPr>
              <w:lastRenderedPageBreak/>
              <w:t>crearea unui site web legat de industrie, care, în mod clar</w:t>
            </w:r>
            <w:r>
              <w:rPr>
                <w:rFonts w:ascii="Calibri Light" w:eastAsiaTheme="minorHAnsi" w:hAnsi="Calibri Light" w:cs="Calibri Light"/>
                <w:color w:val="000000" w:themeColor="text1"/>
                <w:sz w:val="22"/>
                <w:szCs w:val="22"/>
                <w:lang w:val="ro-RO"/>
              </w:rPr>
              <w:t xml:space="preserve">, </w:t>
            </w:r>
            <w:r w:rsidRPr="00D50450">
              <w:rPr>
                <w:rFonts w:ascii="Calibri Light" w:eastAsiaTheme="minorHAnsi" w:hAnsi="Calibri Light" w:cs="Calibri Light"/>
                <w:color w:val="000000" w:themeColor="text1"/>
                <w:sz w:val="22"/>
                <w:szCs w:val="22"/>
                <w:lang w:val="ro-RO"/>
              </w:rPr>
              <w:t xml:space="preserve">detaliat și prietenos, ar prezenta condițiile de angajare într-o anumită industrie ). </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Achiziția de cunoștințe de către </w:t>
            </w:r>
            <w:r>
              <w:rPr>
                <w:rFonts w:ascii="Calibri Light" w:eastAsiaTheme="minorHAnsi" w:hAnsi="Calibri Light" w:cs="Calibri Light"/>
                <w:color w:val="000000" w:themeColor="text1"/>
                <w:sz w:val="22"/>
                <w:szCs w:val="22"/>
                <w:lang w:val="ro-RO"/>
              </w:rPr>
              <w:t>angajatorii</w:t>
            </w:r>
            <w:r w:rsidRPr="00D50450">
              <w:rPr>
                <w:rFonts w:ascii="Calibri Light" w:eastAsiaTheme="minorHAnsi" w:hAnsi="Calibri Light" w:cs="Calibri Light"/>
                <w:color w:val="000000" w:themeColor="text1"/>
                <w:sz w:val="22"/>
                <w:szCs w:val="22"/>
                <w:lang w:val="ro-RO"/>
              </w:rPr>
              <w:t xml:space="preserve"> detașați are loc și la locul de muncă. Acest fapt deschide noi perspective pentru reprezentanții sindicatelor care ar trebui să poată furniza rapid informații clare. Aceasta înseamnă, de asemenea, cooperarea angajatorilor care pot îndeplini aceleași sarcini și, în cazul reprezentanților sindicatelor, să prezinte suplimentar, de ex. o ofertă de formare într-un anumit domeniu legat de dreptul muncii. Se poate presupune că acți</w:t>
            </w:r>
            <w:r>
              <w:rPr>
                <w:rFonts w:ascii="Calibri Light" w:eastAsiaTheme="minorHAnsi" w:hAnsi="Calibri Light" w:cs="Calibri Light"/>
                <w:color w:val="000000" w:themeColor="text1"/>
                <w:sz w:val="22"/>
                <w:szCs w:val="22"/>
                <w:lang w:val="ro-RO"/>
              </w:rPr>
              <w:t>unile reprezentanților sindicatelo</w:t>
            </w:r>
            <w:r w:rsidRPr="00D50450">
              <w:rPr>
                <w:rFonts w:ascii="Calibri Light" w:eastAsiaTheme="minorHAnsi" w:hAnsi="Calibri Light" w:cs="Calibri Light"/>
                <w:color w:val="000000" w:themeColor="text1"/>
                <w:sz w:val="22"/>
                <w:szCs w:val="22"/>
                <w:lang w:val="ro-RO"/>
              </w:rPr>
              <w:t xml:space="preserve"> legate de furnizarea de informații unui </w:t>
            </w:r>
            <w:r>
              <w:rPr>
                <w:rFonts w:ascii="Calibri Light" w:eastAsiaTheme="minorHAnsi" w:hAnsi="Calibri Light" w:cs="Calibri Light"/>
                <w:color w:val="000000" w:themeColor="text1"/>
                <w:sz w:val="22"/>
                <w:szCs w:val="22"/>
                <w:lang w:val="ro-RO"/>
              </w:rPr>
              <w:t>angajat</w:t>
            </w:r>
            <w:r w:rsidRPr="00D50450">
              <w:rPr>
                <w:rFonts w:ascii="Calibri Light" w:eastAsiaTheme="minorHAnsi" w:hAnsi="Calibri Light" w:cs="Calibri Light"/>
                <w:color w:val="000000" w:themeColor="text1"/>
                <w:sz w:val="22"/>
                <w:szCs w:val="22"/>
                <w:lang w:val="ro-RO"/>
              </w:rPr>
              <w:t xml:space="preserve"> direct la un loc de muncă vor </w:t>
            </w:r>
            <w:r>
              <w:rPr>
                <w:rFonts w:ascii="Calibri Light" w:eastAsiaTheme="minorHAnsi" w:hAnsi="Calibri Light" w:cs="Calibri Light"/>
                <w:color w:val="000000" w:themeColor="text1"/>
                <w:sz w:val="22"/>
                <w:szCs w:val="22"/>
                <w:lang w:val="ro-RO"/>
              </w:rPr>
              <w:t>reprezenta</w:t>
            </w:r>
            <w:r w:rsidRPr="00D50450">
              <w:rPr>
                <w:rFonts w:ascii="Calibri Light" w:eastAsiaTheme="minorHAnsi" w:hAnsi="Calibri Light" w:cs="Calibri Light"/>
                <w:color w:val="000000" w:themeColor="text1"/>
                <w:sz w:val="22"/>
                <w:szCs w:val="22"/>
                <w:lang w:val="ro-RO"/>
              </w:rPr>
              <w:t xml:space="preserve"> una dintre cele mai eficiente modalități de protecție a drepturilor și intereselor </w:t>
            </w:r>
            <w:r>
              <w:rPr>
                <w:rFonts w:ascii="Calibri Light" w:eastAsiaTheme="minorHAnsi" w:hAnsi="Calibri Light" w:cs="Calibri Light"/>
                <w:color w:val="000000" w:themeColor="text1"/>
                <w:sz w:val="22"/>
                <w:szCs w:val="22"/>
                <w:lang w:val="ro-RO"/>
              </w:rPr>
              <w:t>angajaţilor</w:t>
            </w:r>
            <w:r w:rsidRPr="00D50450">
              <w:rPr>
                <w:rFonts w:ascii="Calibri Light" w:eastAsiaTheme="minorHAnsi" w:hAnsi="Calibri Light" w:cs="Calibri Light"/>
                <w:color w:val="000000" w:themeColor="text1"/>
                <w:sz w:val="22"/>
                <w:szCs w:val="22"/>
                <w:lang w:val="ro-RO"/>
              </w:rPr>
              <w:t xml:space="preserve"> detașați.</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Cooperarea poate </w:t>
            </w:r>
            <w:r>
              <w:rPr>
                <w:rFonts w:ascii="Calibri Light" w:eastAsiaTheme="minorHAnsi" w:hAnsi="Calibri Light" w:cs="Calibri Light"/>
                <w:color w:val="000000" w:themeColor="text1"/>
                <w:sz w:val="22"/>
                <w:szCs w:val="22"/>
                <w:lang w:val="ro-RO"/>
              </w:rPr>
              <w:t>veni</w:t>
            </w:r>
            <w:r w:rsidRPr="00D50450">
              <w:rPr>
                <w:rFonts w:ascii="Calibri Light" w:eastAsiaTheme="minorHAnsi" w:hAnsi="Calibri Light" w:cs="Calibri Light"/>
                <w:color w:val="000000" w:themeColor="text1"/>
                <w:sz w:val="22"/>
                <w:szCs w:val="22"/>
                <w:lang w:val="ro-RO"/>
              </w:rPr>
              <w:t xml:space="preserve">, de asemenea, </w:t>
            </w:r>
            <w:r>
              <w:rPr>
                <w:rFonts w:ascii="Calibri Light" w:eastAsiaTheme="minorHAnsi" w:hAnsi="Calibri Light" w:cs="Calibri Light"/>
                <w:color w:val="000000" w:themeColor="text1"/>
                <w:sz w:val="22"/>
                <w:szCs w:val="22"/>
                <w:lang w:val="ro-RO"/>
              </w:rPr>
              <w:t>sub</w:t>
            </w:r>
            <w:r w:rsidRPr="00D50450">
              <w:rPr>
                <w:rFonts w:ascii="Calibri Light" w:eastAsiaTheme="minorHAnsi" w:hAnsi="Calibri Light" w:cs="Calibri Light"/>
                <w:color w:val="000000" w:themeColor="text1"/>
                <w:sz w:val="22"/>
                <w:szCs w:val="22"/>
                <w:lang w:val="ro-RO"/>
              </w:rPr>
              <w:t xml:space="preserve"> form</w:t>
            </w:r>
            <w:r>
              <w:rPr>
                <w:rFonts w:ascii="Calibri Light" w:eastAsiaTheme="minorHAnsi" w:hAnsi="Calibri Light" w:cs="Calibri Light"/>
                <w:color w:val="000000" w:themeColor="text1"/>
                <w:sz w:val="22"/>
                <w:szCs w:val="22"/>
                <w:lang w:val="ro-RO"/>
              </w:rPr>
              <w:t>a</w:t>
            </w:r>
            <w:r w:rsidRPr="00D50450">
              <w:rPr>
                <w:rFonts w:ascii="Calibri Light" w:eastAsiaTheme="minorHAnsi" w:hAnsi="Calibri Light" w:cs="Calibri Light"/>
                <w:color w:val="000000" w:themeColor="text1"/>
                <w:sz w:val="22"/>
                <w:szCs w:val="22"/>
                <w:lang w:val="ro-RO"/>
              </w:rPr>
              <w:t xml:space="preserve"> de vizite ale reprezentanților sindicatelor la centrele sindicale din alte țări, pentru a ajuta părțile interesate în limba lor maternă. Contactul cu o persoană care poate oferi explicații în limba maternă a unui </w:t>
            </w:r>
            <w:r>
              <w:rPr>
                <w:rFonts w:ascii="Calibri Light" w:eastAsiaTheme="minorHAnsi" w:hAnsi="Calibri Light" w:cs="Calibri Light"/>
                <w:color w:val="000000" w:themeColor="text1"/>
                <w:sz w:val="22"/>
                <w:szCs w:val="22"/>
                <w:lang w:val="ro-RO"/>
              </w:rPr>
              <w:t>angajat</w:t>
            </w:r>
            <w:r w:rsidRPr="00D50450">
              <w:rPr>
                <w:rFonts w:ascii="Calibri Light" w:eastAsiaTheme="minorHAnsi" w:hAnsi="Calibri Light" w:cs="Calibri Light"/>
                <w:color w:val="000000" w:themeColor="text1"/>
                <w:sz w:val="22"/>
                <w:szCs w:val="22"/>
                <w:lang w:val="ro-RO"/>
              </w:rPr>
              <w:t xml:space="preserve"> detașat la locul desfășurării muncii garantează cu siguranță confortul și pacea socială părților interesate. În ceea ce privește rolul sindicatelor în acest aspect al detașării, este de asemenea necesar să se desfășoare acțiuni menite să sporească nivelul de încredere în organizațiile sindicale și să se îndrepte spre ajutor, deoarece un </w:t>
            </w:r>
            <w:r>
              <w:rPr>
                <w:rFonts w:ascii="Calibri Light" w:eastAsiaTheme="minorHAnsi" w:hAnsi="Calibri Light" w:cs="Calibri Light"/>
                <w:color w:val="000000" w:themeColor="text1"/>
                <w:sz w:val="22"/>
                <w:szCs w:val="22"/>
                <w:lang w:val="ro-RO"/>
              </w:rPr>
              <w:t>angajat</w:t>
            </w:r>
            <w:r w:rsidRPr="00D50450">
              <w:rPr>
                <w:rFonts w:ascii="Calibri Light" w:eastAsiaTheme="minorHAnsi" w:hAnsi="Calibri Light" w:cs="Calibri Light"/>
                <w:color w:val="000000" w:themeColor="text1"/>
                <w:sz w:val="22"/>
                <w:szCs w:val="22"/>
                <w:lang w:val="ro-RO"/>
              </w:rPr>
              <w:t xml:space="preserve"> detașat percepe adesea </w:t>
            </w:r>
            <w:r>
              <w:rPr>
                <w:rFonts w:ascii="Calibri Light" w:eastAsiaTheme="minorHAnsi" w:hAnsi="Calibri Light" w:cs="Calibri Light"/>
                <w:color w:val="000000" w:themeColor="text1"/>
                <w:sz w:val="22"/>
                <w:szCs w:val="22"/>
                <w:lang w:val="ro-RO"/>
              </w:rPr>
              <w:t xml:space="preserve">reprezentanţii </w:t>
            </w:r>
            <w:r w:rsidRPr="00D50450">
              <w:rPr>
                <w:rFonts w:ascii="Calibri Light" w:eastAsiaTheme="minorHAnsi" w:hAnsi="Calibri Light" w:cs="Calibri Light"/>
                <w:color w:val="000000" w:themeColor="text1"/>
                <w:sz w:val="22"/>
                <w:szCs w:val="22"/>
                <w:lang w:val="ro-RO"/>
              </w:rPr>
              <w:t>angajatul</w:t>
            </w:r>
            <w:r>
              <w:rPr>
                <w:rFonts w:ascii="Calibri Light" w:eastAsiaTheme="minorHAnsi" w:hAnsi="Calibri Light" w:cs="Calibri Light"/>
                <w:color w:val="000000" w:themeColor="text1"/>
                <w:sz w:val="22"/>
                <w:szCs w:val="22"/>
                <w:lang w:val="ro-RO"/>
              </w:rPr>
              <w:t>ui</w:t>
            </w:r>
            <w:r w:rsidRPr="00D50450">
              <w:rPr>
                <w:rFonts w:ascii="Calibri Light" w:eastAsiaTheme="minorHAnsi" w:hAnsi="Calibri Light" w:cs="Calibri Light"/>
                <w:color w:val="000000" w:themeColor="text1"/>
                <w:sz w:val="22"/>
                <w:szCs w:val="22"/>
                <w:lang w:val="ro-RO"/>
              </w:rPr>
              <w:t xml:space="preserve"> în mod greșit sau negativ, ca rezultat al experienței în țara-mamă sau în țările în care a lucrat.</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Nu există nicio îndoială că, în cadrul cooperării dintre părți, ar fi benefic să se creeze o bază detaliată de contact</w:t>
            </w:r>
            <w:r>
              <w:rPr>
                <w:rFonts w:ascii="Calibri Light" w:eastAsiaTheme="minorHAnsi" w:hAnsi="Calibri Light" w:cs="Calibri Light"/>
                <w:color w:val="000000" w:themeColor="text1"/>
                <w:sz w:val="22"/>
                <w:szCs w:val="22"/>
                <w:lang w:val="ro-RO"/>
              </w:rPr>
              <w:t xml:space="preserve">e </w:t>
            </w:r>
            <w:r w:rsidRPr="00D50450">
              <w:rPr>
                <w:rFonts w:ascii="Calibri Light" w:eastAsiaTheme="minorHAnsi" w:hAnsi="Calibri Light" w:cs="Calibri Light"/>
                <w:color w:val="000000" w:themeColor="text1"/>
                <w:sz w:val="22"/>
                <w:szCs w:val="22"/>
                <w:lang w:val="ro-RO"/>
              </w:rPr>
              <w:t>(puncte de contact) sau o bază de nume de persoane care să poată furniza imediat informațiile necesare fiecărei părți interesate.</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Un aspect foarte important îl reprezintă cooperarea cu inspectoratele de muncă, care de obicei au la dispoziție mijloace legale eficiente și personal calificat, precum și posibilitatea de a afecta un grup larg de destinatari. Inspectoratele de muncă sunt entitățile care controlează și supraveghează aplicarea legii în ceea ce privește </w:t>
            </w:r>
            <w:r>
              <w:rPr>
                <w:rFonts w:ascii="Calibri Light" w:eastAsiaTheme="minorHAnsi" w:hAnsi="Calibri Light" w:cs="Calibri Light"/>
                <w:color w:val="000000" w:themeColor="text1"/>
                <w:sz w:val="22"/>
                <w:szCs w:val="22"/>
                <w:lang w:val="ro-RO"/>
              </w:rPr>
              <w:t>angajaţii</w:t>
            </w:r>
            <w:r w:rsidRPr="00D50450">
              <w:rPr>
                <w:rFonts w:ascii="Calibri Light" w:eastAsiaTheme="minorHAnsi" w:hAnsi="Calibri Light" w:cs="Calibri Light"/>
                <w:color w:val="000000" w:themeColor="text1"/>
                <w:sz w:val="22"/>
                <w:szCs w:val="22"/>
                <w:lang w:val="ro-RO"/>
              </w:rPr>
              <w:t xml:space="preserve"> detașați într-o anumită țară. Eficiența acestora determină punerea în aplicare a normelor prevăzute în directive și reglementări naționale. Ținând cont de acest lucru, cooperarea ar trebui să vizeze consolidarea inspectoratelor de muncă prin </w:t>
            </w:r>
            <w:r w:rsidRPr="005244C0">
              <w:rPr>
                <w:rFonts w:ascii="Calibri Light" w:eastAsiaTheme="minorHAnsi" w:hAnsi="Calibri Light" w:cs="Calibri Light"/>
                <w:i/>
                <w:color w:val="000000" w:themeColor="text1"/>
                <w:sz w:val="22"/>
                <w:szCs w:val="22"/>
                <w:lang w:val="ro-RO"/>
              </w:rPr>
              <w:t>lobby</w:t>
            </w:r>
            <w:r w:rsidRPr="00D50450">
              <w:rPr>
                <w:rFonts w:ascii="Calibri Light" w:eastAsiaTheme="minorHAnsi" w:hAnsi="Calibri Light" w:cs="Calibri Light"/>
                <w:color w:val="000000" w:themeColor="text1"/>
                <w:sz w:val="22"/>
                <w:szCs w:val="22"/>
                <w:lang w:val="ro-RO"/>
              </w:rPr>
              <w:t xml:space="preserve"> pentru a le oferi mai multe măsuri financiare și pentru a spori gradul de ocupare a forței de muncă.</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De asemenea, este necesar să se întărească cooperarea cu inspectoratele de muncă, care pot controla locurile de muncă și la cererile organizațiilor de la locul de muncă. Specialiștii inspectori ar putea, la rândul lor, să-și folosească cunoștințele și experiența d</w:t>
            </w:r>
            <w:r>
              <w:rPr>
                <w:rFonts w:ascii="Calibri Light" w:eastAsiaTheme="minorHAnsi" w:hAnsi="Calibri Light" w:cs="Calibri Light"/>
                <w:color w:val="000000" w:themeColor="text1"/>
                <w:sz w:val="22"/>
                <w:szCs w:val="22"/>
                <w:lang w:val="ro-RO"/>
              </w:rPr>
              <w:t xml:space="preserve">e a, de. ex., </w:t>
            </w:r>
            <w:r w:rsidRPr="00D50450">
              <w:rPr>
                <w:rFonts w:ascii="Calibri Light" w:eastAsiaTheme="minorHAnsi" w:hAnsi="Calibri Light" w:cs="Calibri Light"/>
                <w:color w:val="000000" w:themeColor="text1"/>
                <w:sz w:val="22"/>
                <w:szCs w:val="22"/>
                <w:lang w:val="ro-RO"/>
              </w:rPr>
              <w:t>prez</w:t>
            </w:r>
            <w:r>
              <w:rPr>
                <w:rFonts w:ascii="Calibri Light" w:eastAsiaTheme="minorHAnsi" w:hAnsi="Calibri Light" w:cs="Calibri Light"/>
                <w:color w:val="000000" w:themeColor="text1"/>
                <w:sz w:val="22"/>
                <w:szCs w:val="22"/>
                <w:lang w:val="ro-RO"/>
              </w:rPr>
              <w:t>enta</w:t>
            </w:r>
            <w:r w:rsidRPr="00D50450">
              <w:rPr>
                <w:rFonts w:ascii="Calibri Light" w:eastAsiaTheme="minorHAnsi" w:hAnsi="Calibri Light" w:cs="Calibri Light"/>
                <w:color w:val="000000" w:themeColor="text1"/>
                <w:sz w:val="22"/>
                <w:szCs w:val="22"/>
                <w:lang w:val="ro-RO"/>
              </w:rPr>
              <w:t xml:space="preserve"> reprezentanții sindicatelor sau </w:t>
            </w:r>
            <w:r>
              <w:rPr>
                <w:rFonts w:ascii="Calibri Light" w:eastAsiaTheme="minorHAnsi" w:hAnsi="Calibri Light" w:cs="Calibri Light"/>
                <w:color w:val="000000" w:themeColor="text1"/>
                <w:sz w:val="22"/>
                <w:szCs w:val="22"/>
                <w:lang w:val="ro-RO"/>
              </w:rPr>
              <w:t>de a pune</w:t>
            </w:r>
            <w:r w:rsidRPr="00D50450">
              <w:rPr>
                <w:rFonts w:ascii="Calibri Light" w:eastAsiaTheme="minorHAnsi" w:hAnsi="Calibri Light" w:cs="Calibri Light"/>
                <w:color w:val="000000" w:themeColor="text1"/>
                <w:sz w:val="22"/>
                <w:szCs w:val="22"/>
                <w:lang w:val="ro-RO"/>
              </w:rPr>
              <w:t xml:space="preserve"> la dispoziție anumite materiale</w:t>
            </w:r>
            <w:r>
              <w:rPr>
                <w:rFonts w:ascii="Calibri Light" w:eastAsiaTheme="minorHAnsi" w:hAnsi="Calibri Light" w:cs="Calibri Light"/>
                <w:color w:val="000000" w:themeColor="text1"/>
                <w:sz w:val="22"/>
                <w:szCs w:val="22"/>
                <w:lang w:val="ro-RO"/>
              </w:rPr>
              <w:t xml:space="preserve"> disponibile</w:t>
            </w:r>
            <w:r w:rsidRPr="00D50450">
              <w:rPr>
                <w:rFonts w:ascii="Calibri Light" w:eastAsiaTheme="minorHAnsi" w:hAnsi="Calibri Light" w:cs="Calibri Light"/>
                <w:color w:val="000000" w:themeColor="text1"/>
                <w:sz w:val="22"/>
                <w:szCs w:val="22"/>
                <w:lang w:val="ro-RO"/>
              </w:rPr>
              <w:t xml:space="preserve"> (publicații, pliante, studii etc.).</w:t>
            </w:r>
          </w:p>
          <w:p w:rsidR="004449C1" w:rsidRPr="00D50450" w:rsidRDefault="004449C1" w:rsidP="004449C1">
            <w:pPr>
              <w:pStyle w:val="HTMLPreformatted"/>
              <w:shd w:val="clear" w:color="auto" w:fill="FFFFFF"/>
              <w:jc w:val="center"/>
              <w:rPr>
                <w:rFonts w:ascii="Calibri Light" w:eastAsiaTheme="minorHAnsi" w:hAnsi="Calibri Light" w:cs="Calibri Light"/>
                <w:b/>
                <w:i/>
                <w:color w:val="000000" w:themeColor="text1"/>
                <w:sz w:val="22"/>
                <w:szCs w:val="22"/>
                <w:lang w:val="ro-RO"/>
              </w:rPr>
            </w:pPr>
            <w:r w:rsidRPr="00D50450">
              <w:rPr>
                <w:rFonts w:ascii="Calibri Light" w:eastAsiaTheme="minorHAnsi" w:hAnsi="Calibri Light" w:cs="Calibri Light"/>
                <w:b/>
                <w:i/>
                <w:color w:val="000000" w:themeColor="text1"/>
                <w:sz w:val="22"/>
                <w:szCs w:val="22"/>
                <w:lang w:val="ro-RO"/>
              </w:rPr>
              <w:t>VII.</w:t>
            </w:r>
          </w:p>
          <w:p w:rsidR="004449C1" w:rsidRPr="00D50450" w:rsidRDefault="004449C1" w:rsidP="004449C1">
            <w:pPr>
              <w:pStyle w:val="HTMLPreformatted"/>
              <w:shd w:val="clear" w:color="auto" w:fill="FFFFFF"/>
              <w:jc w:val="center"/>
              <w:rPr>
                <w:rFonts w:ascii="Calibri Light" w:eastAsiaTheme="minorHAnsi" w:hAnsi="Calibri Light" w:cs="Calibri Light"/>
                <w:b/>
                <w:i/>
                <w:color w:val="000000" w:themeColor="text1"/>
                <w:sz w:val="22"/>
                <w:szCs w:val="22"/>
                <w:lang w:val="ro-RO"/>
              </w:rPr>
            </w:pPr>
            <w:r w:rsidRPr="00D50450">
              <w:rPr>
                <w:rFonts w:ascii="Calibri Light" w:eastAsiaTheme="minorHAnsi" w:hAnsi="Calibri Light" w:cs="Calibri Light"/>
                <w:b/>
                <w:i/>
                <w:color w:val="000000" w:themeColor="text1"/>
                <w:sz w:val="22"/>
                <w:szCs w:val="22"/>
                <w:lang w:val="ro-RO"/>
              </w:rPr>
              <w:t xml:space="preserve">Discriminarea </w:t>
            </w:r>
            <w:r>
              <w:rPr>
                <w:rFonts w:ascii="Calibri Light" w:eastAsiaTheme="minorHAnsi" w:hAnsi="Calibri Light" w:cs="Calibri Light"/>
                <w:b/>
                <w:i/>
                <w:color w:val="000000" w:themeColor="text1"/>
                <w:sz w:val="22"/>
                <w:szCs w:val="22"/>
                <w:lang w:val="ro-RO"/>
              </w:rPr>
              <w:t>angajaţilor</w:t>
            </w:r>
            <w:r w:rsidRPr="00D50450">
              <w:rPr>
                <w:rFonts w:ascii="Calibri Light" w:eastAsiaTheme="minorHAnsi" w:hAnsi="Calibri Light" w:cs="Calibri Light"/>
                <w:b/>
                <w:i/>
                <w:color w:val="000000" w:themeColor="text1"/>
                <w:sz w:val="22"/>
                <w:szCs w:val="22"/>
                <w:lang w:val="ro-RO"/>
              </w:rPr>
              <w:t xml:space="preserve"> detașați.</w:t>
            </w:r>
          </w:p>
          <w:p w:rsidR="004449C1" w:rsidRPr="00D50450" w:rsidRDefault="004449C1" w:rsidP="004449C1">
            <w:pPr>
              <w:pStyle w:val="HTMLPreformatted"/>
              <w:shd w:val="clear" w:color="auto" w:fill="FFFFFF"/>
              <w:jc w:val="center"/>
              <w:rPr>
                <w:rFonts w:ascii="Calibri Light" w:eastAsiaTheme="minorHAnsi" w:hAnsi="Calibri Light" w:cs="Calibri Light"/>
                <w:b/>
                <w:i/>
                <w:color w:val="000000" w:themeColor="text1"/>
                <w:sz w:val="22"/>
                <w:szCs w:val="22"/>
                <w:lang w:val="ro-RO"/>
              </w:rPr>
            </w:pPr>
            <w:r w:rsidRPr="00D50450">
              <w:rPr>
                <w:rFonts w:ascii="Calibri Light" w:eastAsiaTheme="minorHAnsi" w:hAnsi="Calibri Light" w:cs="Calibri Light"/>
                <w:b/>
                <w:i/>
                <w:color w:val="000000" w:themeColor="text1"/>
                <w:sz w:val="22"/>
                <w:szCs w:val="22"/>
                <w:lang w:val="ro-RO"/>
              </w:rPr>
              <w:t>Politica anti-discriminare la locul de muncă</w:t>
            </w:r>
          </w:p>
          <w:p w:rsidR="004449C1" w:rsidRPr="00D50450" w:rsidRDefault="004449C1" w:rsidP="004449C1">
            <w:pPr>
              <w:pStyle w:val="HTMLPreformatted"/>
              <w:shd w:val="clear" w:color="auto" w:fill="FFFFFF"/>
              <w:jc w:val="both"/>
              <w:rPr>
                <w:rFonts w:ascii="Calibri Light" w:eastAsiaTheme="minorHAnsi" w:hAnsi="Calibri Light" w:cs="Calibri Light"/>
                <w:color w:val="000000" w:themeColor="text1"/>
                <w:sz w:val="22"/>
                <w:szCs w:val="22"/>
                <w:lang w:val="ro-RO"/>
              </w:rPr>
            </w:pP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După cum s</w:t>
            </w:r>
            <w:r>
              <w:rPr>
                <w:rFonts w:ascii="Calibri Light" w:eastAsiaTheme="minorHAnsi" w:hAnsi="Calibri Light" w:cs="Calibri Light"/>
                <w:color w:val="000000" w:themeColor="text1"/>
                <w:sz w:val="22"/>
                <w:szCs w:val="22"/>
                <w:lang w:val="ro-RO"/>
              </w:rPr>
              <w:t>-</w:t>
            </w:r>
            <w:r w:rsidRPr="00D50450">
              <w:rPr>
                <w:rFonts w:ascii="Calibri Light" w:eastAsiaTheme="minorHAnsi" w:hAnsi="Calibri Light" w:cs="Calibri Light"/>
                <w:color w:val="000000" w:themeColor="text1"/>
                <w:sz w:val="22"/>
                <w:szCs w:val="22"/>
                <w:lang w:val="ro-RO"/>
              </w:rPr>
              <w:t xml:space="preserve">a menționat anterior, </w:t>
            </w:r>
            <w:r>
              <w:rPr>
                <w:rFonts w:ascii="Calibri Light" w:eastAsiaTheme="minorHAnsi" w:hAnsi="Calibri Light" w:cs="Calibri Light"/>
                <w:color w:val="000000" w:themeColor="text1"/>
                <w:sz w:val="22"/>
                <w:szCs w:val="22"/>
                <w:lang w:val="ro-RO"/>
              </w:rPr>
              <w:t>angajaţii</w:t>
            </w:r>
            <w:r w:rsidRPr="00D50450">
              <w:rPr>
                <w:rFonts w:ascii="Calibri Light" w:eastAsiaTheme="minorHAnsi" w:hAnsi="Calibri Light" w:cs="Calibri Light"/>
                <w:color w:val="000000" w:themeColor="text1"/>
                <w:sz w:val="22"/>
                <w:szCs w:val="22"/>
                <w:lang w:val="ro-RO"/>
              </w:rPr>
              <w:t xml:space="preserve"> detașați sunt deseori discriminați de către angajatori în locurile de muncă.</w:t>
            </w:r>
            <w:r>
              <w:rPr>
                <w:rFonts w:ascii="Calibri Light" w:eastAsiaTheme="minorHAnsi" w:hAnsi="Calibri Light" w:cs="Calibri Light"/>
                <w:color w:val="000000" w:themeColor="text1"/>
                <w:sz w:val="22"/>
                <w:szCs w:val="22"/>
                <w:lang w:val="ro-RO"/>
              </w:rPr>
              <w:t xml:space="preserve"> S</w:t>
            </w:r>
            <w:r w:rsidRPr="00D50450">
              <w:rPr>
                <w:rFonts w:ascii="Calibri Light" w:eastAsiaTheme="minorHAnsi" w:hAnsi="Calibri Light" w:cs="Calibri Light"/>
                <w:color w:val="000000" w:themeColor="text1"/>
                <w:sz w:val="22"/>
                <w:szCs w:val="22"/>
                <w:lang w:val="ro-RO"/>
              </w:rPr>
              <w:t>unt adesea trata</w:t>
            </w:r>
            <w:r>
              <w:rPr>
                <w:rFonts w:ascii="Calibri Light" w:eastAsiaTheme="minorHAnsi" w:hAnsi="Calibri Light" w:cs="Calibri Light"/>
                <w:color w:val="000000" w:themeColor="text1"/>
                <w:sz w:val="22"/>
                <w:szCs w:val="22"/>
                <w:lang w:val="ro-RO"/>
              </w:rPr>
              <w:t>ţi</w:t>
            </w:r>
            <w:r w:rsidRPr="00D50450">
              <w:rPr>
                <w:rFonts w:ascii="Calibri Light" w:eastAsiaTheme="minorHAnsi" w:hAnsi="Calibri Light" w:cs="Calibri Light"/>
                <w:color w:val="000000" w:themeColor="text1"/>
                <w:sz w:val="22"/>
                <w:szCs w:val="22"/>
                <w:lang w:val="ro-RO"/>
              </w:rPr>
              <w:t xml:space="preserve"> mai rău în ceea ce privește remunerarea, condițiile de muncă sau problemele sociale. Discriminarea este, de asemenea, legată direct de rasă, naționalitate sau origine etnică. Este o problemă serioasă care, în ciuda funcționării </w:t>
            </w:r>
            <w:r>
              <w:rPr>
                <w:rFonts w:ascii="Calibri Light" w:eastAsiaTheme="minorHAnsi" w:hAnsi="Calibri Light" w:cs="Calibri Light"/>
                <w:color w:val="000000" w:themeColor="text1"/>
                <w:sz w:val="22"/>
                <w:szCs w:val="22"/>
                <w:lang w:val="ro-RO"/>
              </w:rPr>
              <w:t>sistemului</w:t>
            </w:r>
            <w:r w:rsidRPr="00D50450">
              <w:rPr>
                <w:rFonts w:ascii="Calibri Light" w:eastAsiaTheme="minorHAnsi" w:hAnsi="Calibri Light" w:cs="Calibri Light"/>
                <w:color w:val="000000" w:themeColor="text1"/>
                <w:sz w:val="22"/>
                <w:szCs w:val="22"/>
                <w:lang w:val="ro-RO"/>
              </w:rPr>
              <w:t xml:space="preserve"> și </w:t>
            </w:r>
            <w:r>
              <w:rPr>
                <w:rFonts w:ascii="Calibri Light" w:eastAsiaTheme="minorHAnsi" w:hAnsi="Calibri Light" w:cs="Calibri Light"/>
                <w:color w:val="000000" w:themeColor="text1"/>
                <w:sz w:val="22"/>
                <w:szCs w:val="22"/>
                <w:lang w:val="ro-RO"/>
              </w:rPr>
              <w:t xml:space="preserve">a prevederilor </w:t>
            </w:r>
            <w:r w:rsidRPr="00D50450">
              <w:rPr>
                <w:rFonts w:ascii="Calibri Light" w:eastAsiaTheme="minorHAnsi" w:hAnsi="Calibri Light" w:cs="Calibri Light"/>
                <w:color w:val="000000" w:themeColor="text1"/>
                <w:sz w:val="22"/>
                <w:szCs w:val="22"/>
                <w:lang w:val="ro-RO"/>
              </w:rPr>
              <w:t>generale în sistemele juridice ale anumitor țări, necesită o reglementare suplimentară la nivelul locurilor de muncă sau al industriilor. În primul rând, este</w:t>
            </w:r>
            <w:r>
              <w:rPr>
                <w:rFonts w:ascii="Calibri Light" w:eastAsiaTheme="minorHAnsi" w:hAnsi="Calibri Light" w:cs="Calibri Light"/>
                <w:color w:val="000000" w:themeColor="text1"/>
                <w:sz w:val="22"/>
                <w:szCs w:val="22"/>
                <w:lang w:val="ro-RO"/>
              </w:rPr>
              <w:t xml:space="preserve"> necesar să se indice acorduri</w:t>
            </w:r>
            <w:r w:rsidRPr="00D50450">
              <w:rPr>
                <w:rFonts w:ascii="Calibri Light" w:eastAsiaTheme="minorHAnsi" w:hAnsi="Calibri Light" w:cs="Calibri Light"/>
                <w:color w:val="000000" w:themeColor="text1"/>
                <w:sz w:val="22"/>
                <w:szCs w:val="22"/>
                <w:lang w:val="ro-RO"/>
              </w:rPr>
              <w:t xml:space="preserve"> la nivelul locurilor de muncă, precum</w:t>
            </w:r>
            <w:r>
              <w:rPr>
                <w:rFonts w:ascii="Calibri Light" w:eastAsiaTheme="minorHAnsi" w:hAnsi="Calibri Light" w:cs="Calibri Light"/>
                <w:color w:val="000000" w:themeColor="text1"/>
                <w:sz w:val="22"/>
                <w:szCs w:val="22"/>
                <w:lang w:val="ro-RO"/>
              </w:rPr>
              <w:t xml:space="preserve"> și convenții colective, norme de muncă, coduri</w:t>
            </w:r>
            <w:r w:rsidRPr="00D50450">
              <w:rPr>
                <w:rFonts w:ascii="Calibri Light" w:eastAsiaTheme="minorHAnsi" w:hAnsi="Calibri Light" w:cs="Calibri Light"/>
                <w:color w:val="000000" w:themeColor="text1"/>
                <w:sz w:val="22"/>
                <w:szCs w:val="22"/>
                <w:lang w:val="ro-RO"/>
              </w:rPr>
              <w:t xml:space="preserve"> de conduită și alte principii detaliate.</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Pr>
                <w:rFonts w:ascii="Calibri Light" w:eastAsiaTheme="minorHAnsi" w:hAnsi="Calibri Light" w:cs="Calibri Light"/>
                <w:color w:val="000000" w:themeColor="text1"/>
                <w:sz w:val="22"/>
                <w:szCs w:val="22"/>
                <w:lang w:val="ro-RO"/>
              </w:rPr>
              <w:t>Având în vedere sursele legilor privind activitatea</w:t>
            </w:r>
            <w:r w:rsidRPr="00D50450">
              <w:rPr>
                <w:rFonts w:ascii="Calibri Light" w:eastAsiaTheme="minorHAnsi" w:hAnsi="Calibri Light" w:cs="Calibri Light"/>
                <w:color w:val="000000" w:themeColor="text1"/>
                <w:sz w:val="22"/>
                <w:szCs w:val="22"/>
                <w:lang w:val="ro-RO"/>
              </w:rPr>
              <w:t xml:space="preserve"> la locul de muncă, este necesar să se sublinieze rolul special al politicilor anti-discriminare și anti- hărțuire. Acestea sunt acte juridice care conțin reglementări care detaliază legile comune obligatorii și le adaptează condițiilor și naturii specifice unei anumite companii. Aceste tipuri de documente oferă de obicei:</w:t>
            </w:r>
          </w:p>
          <w:p w:rsidR="004449C1" w:rsidRPr="00D50450" w:rsidRDefault="004449C1" w:rsidP="004449C1">
            <w:pPr>
              <w:pStyle w:val="HTMLPreformatted"/>
              <w:shd w:val="clear" w:color="auto" w:fill="FFFFFF"/>
              <w:jc w:val="both"/>
              <w:rPr>
                <w:rFonts w:ascii="Calibri Light" w:eastAsiaTheme="minorHAnsi" w:hAnsi="Calibri Light" w:cs="Calibri Light"/>
                <w:color w:val="000000" w:themeColor="text1"/>
                <w:sz w:val="22"/>
                <w:szCs w:val="22"/>
                <w:lang w:val="ro-RO"/>
              </w:rPr>
            </w:pPr>
          </w:p>
          <w:p w:rsidR="004449C1" w:rsidRPr="00D50450" w:rsidRDefault="004449C1" w:rsidP="004449C1">
            <w:pPr>
              <w:pStyle w:val="HTMLPreformatted"/>
              <w:numPr>
                <w:ilvl w:val="0"/>
                <w:numId w:val="27"/>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exemple de discriminare (hărțuire) și zone ale unui loc de muncă la care se pot aplica,</w:t>
            </w:r>
          </w:p>
          <w:p w:rsidR="004449C1" w:rsidRPr="00D50450" w:rsidRDefault="004449C1" w:rsidP="004449C1">
            <w:pPr>
              <w:pStyle w:val="HTMLPreformatted"/>
              <w:numPr>
                <w:ilvl w:val="0"/>
                <w:numId w:val="27"/>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acțiunile posibile care </w:t>
            </w:r>
            <w:r>
              <w:rPr>
                <w:rFonts w:ascii="Calibri Light" w:eastAsiaTheme="minorHAnsi" w:hAnsi="Calibri Light" w:cs="Calibri Light"/>
                <w:color w:val="000000" w:themeColor="text1"/>
                <w:sz w:val="22"/>
                <w:szCs w:val="22"/>
                <w:lang w:val="ro-RO"/>
              </w:rPr>
              <w:t>pot fi întreprinse de o victimă</w:t>
            </w:r>
            <w:r w:rsidRPr="00D50450">
              <w:rPr>
                <w:rFonts w:ascii="Calibri Light" w:eastAsiaTheme="minorHAnsi" w:hAnsi="Calibri Light" w:cs="Calibri Light"/>
                <w:color w:val="000000" w:themeColor="text1"/>
                <w:sz w:val="22"/>
                <w:szCs w:val="22"/>
                <w:lang w:val="ro-RO"/>
              </w:rPr>
              <w:t xml:space="preserve"> care vizează explicarea și rezolvarea problemei la nivelul locului de muncă,</w:t>
            </w:r>
          </w:p>
          <w:p w:rsidR="004449C1" w:rsidRPr="00D50450" w:rsidRDefault="004449C1" w:rsidP="004449C1">
            <w:pPr>
              <w:pStyle w:val="HTMLPreformatted"/>
              <w:numPr>
                <w:ilvl w:val="0"/>
                <w:numId w:val="27"/>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procedurile (inclusiv procedura de depunere a plângerii și examinare</w:t>
            </w:r>
            <w:r>
              <w:rPr>
                <w:rFonts w:ascii="Calibri Light" w:eastAsiaTheme="minorHAnsi" w:hAnsi="Calibri Light" w:cs="Calibri Light"/>
                <w:color w:val="000000" w:themeColor="text1"/>
                <w:sz w:val="22"/>
                <w:szCs w:val="22"/>
                <w:lang w:val="ro-RO"/>
              </w:rPr>
              <w:t xml:space="preserve"> </w:t>
            </w:r>
            <w:r w:rsidRPr="00D50450">
              <w:rPr>
                <w:rFonts w:ascii="Calibri Light" w:eastAsiaTheme="minorHAnsi" w:hAnsi="Calibri Light" w:cs="Calibri Light"/>
                <w:color w:val="000000" w:themeColor="text1"/>
                <w:sz w:val="22"/>
                <w:szCs w:val="22"/>
                <w:lang w:val="ro-RO"/>
              </w:rPr>
              <w:t>a acesteia de către comitete sau echipe desemnate la locul de muncă);</w:t>
            </w:r>
          </w:p>
          <w:p w:rsidR="004449C1" w:rsidRPr="00D50450" w:rsidRDefault="004449C1" w:rsidP="004449C1">
            <w:pPr>
              <w:pStyle w:val="HTMLPreformatted"/>
              <w:numPr>
                <w:ilvl w:val="0"/>
                <w:numId w:val="27"/>
              </w:numPr>
              <w:shd w:val="clear" w:color="auto" w:fill="FFFFFF"/>
              <w:jc w:val="both"/>
              <w:rPr>
                <w:rFonts w:ascii="Calibri Light" w:eastAsiaTheme="minorHAnsi" w:hAnsi="Calibri Light" w:cs="Calibri Light"/>
                <w:color w:val="000000" w:themeColor="text1"/>
                <w:sz w:val="22"/>
                <w:szCs w:val="22"/>
                <w:lang w:val="ro-RO"/>
              </w:rPr>
            </w:pPr>
            <w:r>
              <w:rPr>
                <w:rFonts w:ascii="Calibri Light" w:eastAsiaTheme="minorHAnsi" w:hAnsi="Calibri Light" w:cs="Calibri Light"/>
                <w:color w:val="000000" w:themeColor="text1"/>
                <w:sz w:val="22"/>
                <w:szCs w:val="22"/>
                <w:lang w:val="ro-RO"/>
              </w:rPr>
              <w:t>scopul</w:t>
            </w:r>
            <w:r w:rsidRPr="00D50450">
              <w:rPr>
                <w:rFonts w:ascii="Calibri Light" w:eastAsiaTheme="minorHAnsi" w:hAnsi="Calibri Light" w:cs="Calibri Light"/>
                <w:color w:val="000000" w:themeColor="text1"/>
                <w:sz w:val="22"/>
                <w:szCs w:val="22"/>
                <w:lang w:val="ro-RO"/>
              </w:rPr>
              <w:t xml:space="preserve"> activităților posibile ale organizațiilor patronale și sindicale,</w:t>
            </w:r>
          </w:p>
          <w:p w:rsidR="004449C1" w:rsidRPr="00D50450" w:rsidRDefault="004449C1" w:rsidP="004449C1">
            <w:pPr>
              <w:pStyle w:val="HTMLPreformatted"/>
              <w:numPr>
                <w:ilvl w:val="0"/>
                <w:numId w:val="27"/>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lastRenderedPageBreak/>
              <w:t>principiile de numire, dacă este necesar, de experți externi independenți (aceștia pot fi mediatori, avocați, consilieri sau persoane de încredere);</w:t>
            </w:r>
          </w:p>
          <w:p w:rsidR="004449C1" w:rsidRPr="00D50450" w:rsidRDefault="004449C1" w:rsidP="004449C1">
            <w:pPr>
              <w:pStyle w:val="HTMLPreformatted"/>
              <w:numPr>
                <w:ilvl w:val="0"/>
                <w:numId w:val="27"/>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acțiuni </w:t>
            </w:r>
            <w:r>
              <w:rPr>
                <w:rFonts w:ascii="Calibri Light" w:eastAsiaTheme="minorHAnsi" w:hAnsi="Calibri Light" w:cs="Calibri Light"/>
                <w:color w:val="000000" w:themeColor="text1"/>
                <w:sz w:val="22"/>
                <w:szCs w:val="22"/>
                <w:lang w:val="ro-RO"/>
              </w:rPr>
              <w:t>de informare</w:t>
            </w:r>
            <w:r w:rsidRPr="00D50450">
              <w:rPr>
                <w:rFonts w:ascii="Calibri Light" w:eastAsiaTheme="minorHAnsi" w:hAnsi="Calibri Light" w:cs="Calibri Light"/>
                <w:color w:val="000000" w:themeColor="text1"/>
                <w:sz w:val="22"/>
                <w:szCs w:val="22"/>
                <w:lang w:val="ro-RO"/>
              </w:rPr>
              <w:t xml:space="preserve"> și de educa</w:t>
            </w:r>
            <w:r>
              <w:rPr>
                <w:rFonts w:ascii="Calibri Light" w:eastAsiaTheme="minorHAnsi" w:hAnsi="Calibri Light" w:cs="Calibri Light"/>
                <w:color w:val="000000" w:themeColor="text1"/>
                <w:sz w:val="22"/>
                <w:szCs w:val="22"/>
                <w:lang w:val="ro-RO"/>
              </w:rPr>
              <w:t>re</w:t>
            </w:r>
            <w:r w:rsidRPr="00D50450">
              <w:rPr>
                <w:rFonts w:ascii="Calibri Light" w:eastAsiaTheme="minorHAnsi" w:hAnsi="Calibri Light" w:cs="Calibri Light"/>
                <w:color w:val="000000" w:themeColor="text1"/>
                <w:sz w:val="22"/>
                <w:szCs w:val="22"/>
                <w:lang w:val="ro-RO"/>
              </w:rPr>
              <w:t xml:space="preserve"> pentru personalul de conducere, precum și pentru </w:t>
            </w:r>
            <w:r>
              <w:rPr>
                <w:rFonts w:ascii="Calibri Light" w:eastAsiaTheme="minorHAnsi" w:hAnsi="Calibri Light" w:cs="Calibri Light"/>
                <w:color w:val="000000" w:themeColor="text1"/>
                <w:sz w:val="22"/>
                <w:szCs w:val="22"/>
                <w:lang w:val="ro-RO"/>
              </w:rPr>
              <w:t>angajaţii</w:t>
            </w:r>
            <w:r w:rsidRPr="00D50450">
              <w:rPr>
                <w:rFonts w:ascii="Calibri Light" w:eastAsiaTheme="minorHAnsi" w:hAnsi="Calibri Light" w:cs="Calibri Light"/>
                <w:color w:val="000000" w:themeColor="text1"/>
                <w:sz w:val="22"/>
                <w:szCs w:val="22"/>
                <w:lang w:val="ro-RO"/>
              </w:rPr>
              <w:t xml:space="preserve"> înșiși.</w:t>
            </w:r>
          </w:p>
          <w:p w:rsidR="004449C1" w:rsidRPr="00D50450" w:rsidRDefault="004449C1" w:rsidP="004449C1">
            <w:pPr>
              <w:pStyle w:val="HTMLPreformatted"/>
              <w:shd w:val="clear" w:color="auto" w:fill="FFFFFF"/>
              <w:jc w:val="both"/>
              <w:rPr>
                <w:rFonts w:ascii="Calibri Light" w:eastAsiaTheme="minorHAnsi" w:hAnsi="Calibri Light" w:cs="Calibri Light"/>
                <w:color w:val="000000" w:themeColor="text1"/>
                <w:sz w:val="22"/>
                <w:szCs w:val="22"/>
                <w:lang w:val="ro-RO"/>
              </w:rPr>
            </w:pPr>
          </w:p>
          <w:p w:rsidR="004449C1" w:rsidRPr="00D50450" w:rsidRDefault="004449C1"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Fără îndoială, este un instrument extrem de util, care, la locul de muncă, poate fi utilizat și în ceea ce privește </w:t>
            </w:r>
            <w:r>
              <w:rPr>
                <w:rFonts w:ascii="Calibri Light" w:eastAsiaTheme="minorHAnsi" w:hAnsi="Calibri Light" w:cs="Calibri Light"/>
                <w:color w:val="000000" w:themeColor="text1"/>
                <w:sz w:val="22"/>
                <w:szCs w:val="22"/>
                <w:lang w:val="ro-RO"/>
              </w:rPr>
              <w:t>angajaţii</w:t>
            </w:r>
            <w:r w:rsidRPr="00D50450">
              <w:rPr>
                <w:rFonts w:ascii="Calibri Light" w:eastAsiaTheme="minorHAnsi" w:hAnsi="Calibri Light" w:cs="Calibri Light"/>
                <w:color w:val="000000" w:themeColor="text1"/>
                <w:sz w:val="22"/>
                <w:szCs w:val="22"/>
                <w:lang w:val="ro-RO"/>
              </w:rPr>
              <w:t xml:space="preserve"> detașați, ca cei expuși în mod deosebit la discriminare. În practică, astfel de prevederi sunt de asemenea benefice pentru angajatorii care pot dovedi că au reglementări legale transparente și clare, se ocupă de eliminarea cazurilor de discriminare sau de </w:t>
            </w:r>
            <w:r>
              <w:rPr>
                <w:rFonts w:ascii="Calibri Light" w:eastAsiaTheme="minorHAnsi" w:hAnsi="Calibri Light" w:cs="Calibri Light"/>
                <w:color w:val="000000" w:themeColor="text1"/>
                <w:sz w:val="22"/>
                <w:szCs w:val="22"/>
                <w:lang w:val="ro-RO"/>
              </w:rPr>
              <w:t>hărţuire</w:t>
            </w:r>
            <w:r w:rsidRPr="00D50450">
              <w:rPr>
                <w:rFonts w:ascii="Calibri Light" w:eastAsiaTheme="minorHAnsi" w:hAnsi="Calibri Light" w:cs="Calibri Light"/>
                <w:color w:val="000000" w:themeColor="text1"/>
                <w:sz w:val="22"/>
                <w:szCs w:val="22"/>
                <w:lang w:val="ro-RO"/>
              </w:rPr>
              <w:t xml:space="preserve"> din locurile lor de muncă, arată o cultura juridică mai mare și </w:t>
            </w:r>
            <w:r>
              <w:rPr>
                <w:rFonts w:ascii="Calibri Light" w:eastAsiaTheme="minorHAnsi" w:hAnsi="Calibri Light" w:cs="Calibri Light"/>
                <w:color w:val="000000" w:themeColor="text1"/>
                <w:sz w:val="22"/>
                <w:szCs w:val="22"/>
                <w:lang w:val="ro-RO"/>
              </w:rPr>
              <w:t>grijă pentru</w:t>
            </w:r>
            <w:r w:rsidRPr="00D50450">
              <w:rPr>
                <w:rFonts w:ascii="Calibri Light" w:eastAsiaTheme="minorHAnsi" w:hAnsi="Calibri Light" w:cs="Calibri Light"/>
                <w:color w:val="000000" w:themeColor="text1"/>
                <w:sz w:val="22"/>
                <w:szCs w:val="22"/>
                <w:lang w:val="ro-RO"/>
              </w:rPr>
              <w:t xml:space="preserve"> </w:t>
            </w:r>
            <w:r>
              <w:rPr>
                <w:rFonts w:ascii="Calibri Light" w:eastAsiaTheme="minorHAnsi" w:hAnsi="Calibri Light" w:cs="Calibri Light"/>
                <w:color w:val="000000" w:themeColor="text1"/>
                <w:sz w:val="22"/>
                <w:szCs w:val="22"/>
                <w:lang w:val="ro-RO"/>
              </w:rPr>
              <w:t>angajaţi</w:t>
            </w:r>
            <w:r w:rsidRPr="00D50450">
              <w:rPr>
                <w:rFonts w:ascii="Calibri Light" w:eastAsiaTheme="minorHAnsi" w:hAnsi="Calibri Light" w:cs="Calibri Light"/>
                <w:color w:val="000000" w:themeColor="text1"/>
                <w:sz w:val="22"/>
                <w:szCs w:val="22"/>
                <w:lang w:val="ro-RO"/>
              </w:rPr>
              <w:t xml:space="preserve">, </w:t>
            </w:r>
            <w:r>
              <w:rPr>
                <w:rFonts w:ascii="Calibri Light" w:eastAsiaTheme="minorHAnsi" w:hAnsi="Calibri Light" w:cs="Calibri Light"/>
                <w:color w:val="000000" w:themeColor="text1"/>
                <w:sz w:val="22"/>
                <w:szCs w:val="22"/>
                <w:lang w:val="ro-RO"/>
              </w:rPr>
              <w:t xml:space="preserve">şi folosesc în mod orspunzător </w:t>
            </w:r>
            <w:r w:rsidRPr="00D50450">
              <w:rPr>
                <w:rFonts w:ascii="Calibri Light" w:eastAsiaTheme="minorHAnsi" w:hAnsi="Calibri Light" w:cs="Calibri Light"/>
                <w:color w:val="000000" w:themeColor="text1"/>
                <w:sz w:val="22"/>
                <w:szCs w:val="22"/>
                <w:lang w:val="ro-RO"/>
              </w:rPr>
              <w:t>dialogul social cu organizațiile sindicale.</w:t>
            </w:r>
          </w:p>
          <w:p w:rsidR="004449C1" w:rsidRPr="00D50450" w:rsidRDefault="004449C1"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Un </w:t>
            </w:r>
            <w:r>
              <w:rPr>
                <w:rFonts w:ascii="Calibri Light" w:eastAsiaTheme="minorHAnsi" w:hAnsi="Calibri Light" w:cs="Calibri Light"/>
                <w:color w:val="000000" w:themeColor="text1"/>
                <w:sz w:val="22"/>
                <w:szCs w:val="22"/>
                <w:lang w:val="ro-RO"/>
              </w:rPr>
              <w:t xml:space="preserve">alt </w:t>
            </w:r>
            <w:r w:rsidRPr="00D50450">
              <w:rPr>
                <w:rFonts w:ascii="Calibri Light" w:eastAsiaTheme="minorHAnsi" w:hAnsi="Calibri Light" w:cs="Calibri Light"/>
                <w:color w:val="000000" w:themeColor="text1"/>
                <w:sz w:val="22"/>
                <w:szCs w:val="22"/>
                <w:lang w:val="ro-RO"/>
              </w:rPr>
              <w:t>aspect important în acest caz este, de asemenea, aspectul instanței, deoarece, în caz de litigiu, instanța verifică de obicei dacă un anumit loc de muncă a introdus o politică internă anti</w:t>
            </w:r>
            <w:r>
              <w:rPr>
                <w:rFonts w:ascii="Calibri Light" w:eastAsiaTheme="minorHAnsi" w:hAnsi="Calibri Light" w:cs="Calibri Light"/>
                <w:color w:val="000000" w:themeColor="text1"/>
                <w:sz w:val="22"/>
                <w:szCs w:val="22"/>
                <w:lang w:val="ro-RO"/>
              </w:rPr>
              <w:t>-</w:t>
            </w:r>
            <w:r w:rsidRPr="00D50450">
              <w:rPr>
                <w:rFonts w:ascii="Calibri Light" w:eastAsiaTheme="minorHAnsi" w:hAnsi="Calibri Light" w:cs="Calibri Light"/>
                <w:color w:val="000000" w:themeColor="text1"/>
                <w:sz w:val="22"/>
                <w:szCs w:val="22"/>
                <w:lang w:val="ro-RO"/>
              </w:rPr>
              <w:t xml:space="preserve">discriminare (aceasta </w:t>
            </w:r>
            <w:r>
              <w:rPr>
                <w:rFonts w:ascii="Calibri Light" w:eastAsiaTheme="minorHAnsi" w:hAnsi="Calibri Light" w:cs="Calibri Light"/>
                <w:color w:val="000000" w:themeColor="text1"/>
                <w:sz w:val="22"/>
                <w:szCs w:val="22"/>
                <w:lang w:val="ro-RO"/>
              </w:rPr>
              <w:t>are impact asupra posibilei</w:t>
            </w:r>
            <w:r w:rsidRPr="00D50450">
              <w:rPr>
                <w:rFonts w:ascii="Calibri Light" w:eastAsiaTheme="minorHAnsi" w:hAnsi="Calibri Light" w:cs="Calibri Light"/>
                <w:color w:val="000000" w:themeColor="text1"/>
                <w:sz w:val="22"/>
                <w:szCs w:val="22"/>
                <w:lang w:val="ro-RO"/>
              </w:rPr>
              <w:t xml:space="preserve"> limi</w:t>
            </w:r>
            <w:r>
              <w:rPr>
                <w:rFonts w:ascii="Calibri Light" w:eastAsiaTheme="minorHAnsi" w:hAnsi="Calibri Light" w:cs="Calibri Light"/>
                <w:color w:val="000000" w:themeColor="text1"/>
                <w:sz w:val="22"/>
                <w:szCs w:val="22"/>
                <w:lang w:val="ro-RO"/>
              </w:rPr>
              <w:t>tări</w:t>
            </w:r>
            <w:r w:rsidRPr="00D50450">
              <w:rPr>
                <w:rFonts w:ascii="Calibri Light" w:eastAsiaTheme="minorHAnsi" w:hAnsi="Calibri Light" w:cs="Calibri Light"/>
                <w:color w:val="000000" w:themeColor="text1"/>
                <w:sz w:val="22"/>
                <w:szCs w:val="22"/>
                <w:lang w:val="ro-RO"/>
              </w:rPr>
              <w:t xml:space="preserve"> a răspunderii pentru daune sau răs</w:t>
            </w:r>
            <w:r>
              <w:rPr>
                <w:rFonts w:ascii="Calibri Light" w:eastAsiaTheme="minorHAnsi" w:hAnsi="Calibri Light" w:cs="Calibri Light"/>
                <w:color w:val="000000" w:themeColor="text1"/>
                <w:sz w:val="22"/>
                <w:szCs w:val="22"/>
                <w:lang w:val="ro-RO"/>
              </w:rPr>
              <w:t>punderea penală a angajatorului</w:t>
            </w:r>
            <w:r w:rsidRPr="00D50450">
              <w:rPr>
                <w:rFonts w:ascii="Calibri Light" w:eastAsiaTheme="minorHAnsi" w:hAnsi="Calibri Light" w:cs="Calibri Light"/>
                <w:color w:val="000000" w:themeColor="text1"/>
                <w:sz w:val="22"/>
                <w:szCs w:val="22"/>
                <w:lang w:val="ro-RO"/>
              </w:rPr>
              <w:t>). În plus, orice conflict ar trebui rezolvat, fără îndoială, în primul rând prin utilizarea soluțiilor juridice interne la un anumit loc de muncă, cu participarea următoarelor părți: organizații patronale, muncitori și sindicate.</w:t>
            </w:r>
          </w:p>
          <w:p w:rsidR="004449C1" w:rsidRPr="00D50450" w:rsidRDefault="004449C1"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Rolul sindicatelor este neprețuit în acest caz. Ele sunt, de obicei, inițiatorii unor astfel de soluții juridice la locul de muncă. Prin urmare, este necesar să se sublinieze necesitatea existenței unui document antidiscriminare adecvat la locul de muncă, precum și evaluarea utilității acestuia pentru </w:t>
            </w:r>
            <w:r>
              <w:rPr>
                <w:rFonts w:ascii="Calibri Light" w:eastAsiaTheme="minorHAnsi" w:hAnsi="Calibri Light" w:cs="Calibri Light"/>
                <w:color w:val="000000" w:themeColor="text1"/>
                <w:sz w:val="22"/>
                <w:szCs w:val="22"/>
                <w:lang w:val="ro-RO"/>
              </w:rPr>
              <w:t>angajaţii</w:t>
            </w:r>
            <w:r w:rsidRPr="00D50450">
              <w:rPr>
                <w:rFonts w:ascii="Calibri Light" w:eastAsiaTheme="minorHAnsi" w:hAnsi="Calibri Light" w:cs="Calibri Light"/>
                <w:color w:val="000000" w:themeColor="text1"/>
                <w:sz w:val="22"/>
                <w:szCs w:val="22"/>
                <w:lang w:val="ro-RO"/>
              </w:rPr>
              <w:t xml:space="preserve"> detașați. Un alt aspect important este</w:t>
            </w:r>
            <w:r>
              <w:rPr>
                <w:rFonts w:ascii="Calibri Light" w:eastAsiaTheme="minorHAnsi" w:hAnsi="Calibri Light" w:cs="Calibri Light"/>
                <w:color w:val="000000" w:themeColor="text1"/>
                <w:sz w:val="22"/>
                <w:szCs w:val="22"/>
                <w:lang w:val="ro-RO"/>
              </w:rPr>
              <w:t xml:space="preserve"> legat de educaţie-</w:t>
            </w:r>
            <w:r w:rsidRPr="00D50450">
              <w:rPr>
                <w:rFonts w:ascii="Calibri Light" w:eastAsiaTheme="minorHAnsi" w:hAnsi="Calibri Light" w:cs="Calibri Light"/>
                <w:color w:val="000000" w:themeColor="text1"/>
                <w:sz w:val="22"/>
                <w:szCs w:val="22"/>
                <w:lang w:val="ro-RO"/>
              </w:rPr>
              <w:t xml:space="preserve"> organizația sindicală fiind inițiator sau parte la actul juridic menționat, are un domeniu de acțiune mult mai larg la dispoziție în cazul încălcării drepturilor și intereselor unui </w:t>
            </w:r>
            <w:r>
              <w:rPr>
                <w:rFonts w:ascii="Calibri Light" w:eastAsiaTheme="minorHAnsi" w:hAnsi="Calibri Light" w:cs="Calibri Light"/>
                <w:color w:val="000000" w:themeColor="text1"/>
                <w:sz w:val="22"/>
                <w:szCs w:val="22"/>
                <w:lang w:val="ro-RO"/>
              </w:rPr>
              <w:t>angajat</w:t>
            </w:r>
            <w:r w:rsidRPr="00D50450">
              <w:rPr>
                <w:rFonts w:ascii="Calibri Light" w:eastAsiaTheme="minorHAnsi" w:hAnsi="Calibri Light" w:cs="Calibri Light"/>
                <w:color w:val="000000" w:themeColor="text1"/>
                <w:sz w:val="22"/>
                <w:szCs w:val="22"/>
                <w:lang w:val="ro-RO"/>
              </w:rPr>
              <w:t xml:space="preserve"> detașat. Este un co-autor al unui astfel de document și, prin urmare, este capabil</w:t>
            </w:r>
            <w:r>
              <w:rPr>
                <w:rFonts w:ascii="Calibri Light" w:eastAsiaTheme="minorHAnsi" w:hAnsi="Calibri Light" w:cs="Calibri Light"/>
                <w:color w:val="000000" w:themeColor="text1"/>
                <w:sz w:val="22"/>
                <w:szCs w:val="22"/>
                <w:lang w:val="ro-RO"/>
              </w:rPr>
              <w:t>ă</w:t>
            </w:r>
            <w:r w:rsidRPr="00D50450">
              <w:rPr>
                <w:rFonts w:ascii="Calibri Light" w:eastAsiaTheme="minorHAnsi" w:hAnsi="Calibri Light" w:cs="Calibri Light"/>
                <w:color w:val="000000" w:themeColor="text1"/>
                <w:sz w:val="22"/>
                <w:szCs w:val="22"/>
                <w:lang w:val="ro-RO"/>
              </w:rPr>
              <w:t xml:space="preserve"> să aplice dispozițiile sale într-un mod substanțial și mai eficient. Evaluarea periodică a politicilor la locul de muncă în ceea ce privește funcționarea lor în practică merită menționat, de asemenea, în ceea ce privește eventualele lacune sau dispoziții legale incorecte (insuficiente).</w:t>
            </w:r>
          </w:p>
          <w:p w:rsidR="004449C1" w:rsidRPr="00D50450" w:rsidRDefault="004449C1"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În afară de acțiunile de la locul de muncă, </w:t>
            </w:r>
            <w:r>
              <w:rPr>
                <w:rFonts w:ascii="Calibri Light" w:eastAsiaTheme="minorHAnsi" w:hAnsi="Calibri Light" w:cs="Calibri Light"/>
                <w:color w:val="000000" w:themeColor="text1"/>
                <w:sz w:val="22"/>
                <w:szCs w:val="22"/>
                <w:lang w:val="ro-RO"/>
              </w:rPr>
              <w:t>angajaţii</w:t>
            </w:r>
            <w:r w:rsidRPr="00D50450">
              <w:rPr>
                <w:rFonts w:ascii="Calibri Light" w:eastAsiaTheme="minorHAnsi" w:hAnsi="Calibri Light" w:cs="Calibri Light"/>
                <w:color w:val="000000" w:themeColor="text1"/>
                <w:sz w:val="22"/>
                <w:szCs w:val="22"/>
                <w:lang w:val="ro-RO"/>
              </w:rPr>
              <w:t xml:space="preserve"> detașați au dreptul să se adreseze inspectoratului de muncă al țării în care aceștia rămân în perioada în care au fost detașați. Inspectoratele naționale de muncă au dreptul să investigheze o plângere, să examineze orice probă și moțiuni depuse, precum și să </w:t>
            </w:r>
            <w:r>
              <w:rPr>
                <w:rFonts w:ascii="Calibri Light" w:eastAsiaTheme="minorHAnsi" w:hAnsi="Calibri Light" w:cs="Calibri Light"/>
                <w:color w:val="000000" w:themeColor="text1"/>
                <w:sz w:val="22"/>
                <w:szCs w:val="22"/>
                <w:lang w:val="ro-RO"/>
              </w:rPr>
              <w:t>tragă la răspundere</w:t>
            </w:r>
            <w:r w:rsidRPr="00D50450">
              <w:rPr>
                <w:rFonts w:ascii="Calibri Light" w:eastAsiaTheme="minorHAnsi" w:hAnsi="Calibri Light" w:cs="Calibri Light"/>
                <w:color w:val="000000" w:themeColor="text1"/>
                <w:sz w:val="22"/>
                <w:szCs w:val="22"/>
                <w:lang w:val="ro-RO"/>
              </w:rPr>
              <w:t xml:space="preserve">  pentru astfel de practici o persoană (entitate) care încalcă drepturile angajaților în ceea ce privește t</w:t>
            </w:r>
            <w:r>
              <w:rPr>
                <w:rFonts w:ascii="Calibri Light" w:eastAsiaTheme="minorHAnsi" w:hAnsi="Calibri Light" w:cs="Calibri Light"/>
                <w:color w:val="000000" w:themeColor="text1"/>
                <w:sz w:val="22"/>
                <w:szCs w:val="22"/>
                <w:lang w:val="ro-RO"/>
              </w:rPr>
              <w:t>ratamentul egal și discriminarea</w:t>
            </w:r>
            <w:r w:rsidRPr="00D50450">
              <w:rPr>
                <w:rFonts w:ascii="Calibri Light" w:eastAsiaTheme="minorHAnsi" w:hAnsi="Calibri Light" w:cs="Calibri Light"/>
                <w:color w:val="000000" w:themeColor="text1"/>
                <w:sz w:val="22"/>
                <w:szCs w:val="22"/>
                <w:lang w:val="ro-RO"/>
              </w:rPr>
              <w:t xml:space="preserve">. Este important ca procedurile să nu fie prea lungi și </w:t>
            </w:r>
            <w:r>
              <w:rPr>
                <w:rFonts w:ascii="Calibri Light" w:eastAsiaTheme="minorHAnsi" w:hAnsi="Calibri Light" w:cs="Calibri Light"/>
                <w:color w:val="000000" w:themeColor="text1"/>
                <w:sz w:val="22"/>
                <w:szCs w:val="22"/>
                <w:lang w:val="ro-RO"/>
              </w:rPr>
              <w:t>încâlcite</w:t>
            </w:r>
            <w:r w:rsidRPr="00D50450">
              <w:rPr>
                <w:rFonts w:ascii="Calibri Light" w:eastAsiaTheme="minorHAnsi" w:hAnsi="Calibri Light" w:cs="Calibri Light"/>
                <w:color w:val="000000" w:themeColor="text1"/>
                <w:sz w:val="22"/>
                <w:szCs w:val="22"/>
                <w:lang w:val="ro-RO"/>
              </w:rPr>
              <w:t xml:space="preserve">, ceea ce </w:t>
            </w:r>
            <w:r>
              <w:rPr>
                <w:rFonts w:ascii="Calibri Light" w:eastAsiaTheme="minorHAnsi" w:hAnsi="Calibri Light" w:cs="Calibri Light"/>
                <w:color w:val="000000" w:themeColor="text1"/>
                <w:sz w:val="22"/>
                <w:szCs w:val="22"/>
                <w:lang w:val="ro-RO"/>
              </w:rPr>
              <w:t>ar putea</w:t>
            </w:r>
            <w:r w:rsidRPr="00D50450">
              <w:rPr>
                <w:rFonts w:ascii="Calibri Light" w:eastAsiaTheme="minorHAnsi" w:hAnsi="Calibri Light" w:cs="Calibri Light"/>
                <w:color w:val="000000" w:themeColor="text1"/>
                <w:sz w:val="22"/>
                <w:szCs w:val="22"/>
                <w:lang w:val="ro-RO"/>
              </w:rPr>
              <w:t xml:space="preserve"> descuraja </w:t>
            </w:r>
            <w:r>
              <w:rPr>
                <w:rFonts w:ascii="Calibri Light" w:eastAsiaTheme="minorHAnsi" w:hAnsi="Calibri Light" w:cs="Calibri Light"/>
                <w:color w:val="000000" w:themeColor="text1"/>
                <w:sz w:val="22"/>
                <w:szCs w:val="22"/>
                <w:lang w:val="ro-RO"/>
              </w:rPr>
              <w:t>angajaţii</w:t>
            </w:r>
            <w:r w:rsidRPr="00D50450">
              <w:rPr>
                <w:rFonts w:ascii="Calibri Light" w:eastAsiaTheme="minorHAnsi" w:hAnsi="Calibri Light" w:cs="Calibri Light"/>
                <w:color w:val="000000" w:themeColor="text1"/>
                <w:sz w:val="22"/>
                <w:szCs w:val="22"/>
                <w:lang w:val="ro-RO"/>
              </w:rPr>
              <w:t xml:space="preserve"> să-și apere drepturile încălcate.</w:t>
            </w:r>
          </w:p>
          <w:p w:rsidR="004449C1" w:rsidRPr="00D50450" w:rsidRDefault="004449C1" w:rsidP="004449C1">
            <w:pPr>
              <w:jc w:val="center"/>
              <w:rPr>
                <w:rFonts w:ascii="Calibri Light" w:hAnsi="Calibri Light" w:cs="Calibri Light"/>
                <w:b/>
                <w:i/>
                <w:color w:val="000000" w:themeColor="text1"/>
                <w:lang w:val="ro-RO"/>
              </w:rPr>
            </w:pPr>
            <w:r w:rsidRPr="00D50450">
              <w:rPr>
                <w:rFonts w:ascii="Calibri Light" w:hAnsi="Calibri Light" w:cs="Calibri Light"/>
                <w:b/>
                <w:i/>
                <w:color w:val="000000" w:themeColor="text1"/>
                <w:lang w:val="ro-RO"/>
              </w:rPr>
              <w:t xml:space="preserve">VIII. </w:t>
            </w:r>
          </w:p>
          <w:p w:rsidR="004449C1" w:rsidRPr="00D50450" w:rsidRDefault="004449C1" w:rsidP="004449C1">
            <w:pPr>
              <w:jc w:val="center"/>
              <w:rPr>
                <w:rFonts w:ascii="Calibri Light" w:hAnsi="Calibri Light" w:cs="Calibri Light"/>
                <w:b/>
                <w:i/>
                <w:color w:val="000000" w:themeColor="text1"/>
                <w:lang w:val="ro-RO"/>
              </w:rPr>
            </w:pPr>
            <w:r w:rsidRPr="00D50450">
              <w:rPr>
                <w:rFonts w:ascii="Calibri Light" w:hAnsi="Calibri Light" w:cs="Calibri Light"/>
                <w:b/>
                <w:i/>
                <w:color w:val="000000" w:themeColor="text1"/>
                <w:lang w:val="ro-RO"/>
              </w:rPr>
              <w:t>Monitorizarea, indicatorii de aplicare și respectarea legii</w:t>
            </w:r>
          </w:p>
          <w:p w:rsidR="004449C1" w:rsidRPr="00D50450" w:rsidRDefault="004449C1" w:rsidP="004449C1">
            <w:pPr>
              <w:jc w:val="both"/>
              <w:rPr>
                <w:rFonts w:ascii="Calibri Light" w:hAnsi="Calibri Light" w:cs="Calibri Light"/>
                <w:color w:val="000000" w:themeColor="text1"/>
                <w:lang w:val="ro-RO"/>
              </w:rPr>
            </w:pPr>
          </w:p>
          <w:p w:rsidR="004449C1" w:rsidRPr="00D50450" w:rsidRDefault="004449C1" w:rsidP="004449C1">
            <w:pPr>
              <w:ind w:firstLine="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Pe lângă soluțiile juridice și evaluarea acestora, un aspect extrem de important este monitorizarea respectării reglementărilor legale, atât în ​​ceea ce privește directivele UE, cât și implementarea sub forma legislației naționale. Un lucru necesar este cooperarea dintre instituțiile UE, organismele corespunzătoare ale statelor membre, autoritățile publice, instituțiile de cercetare și partenerii sociali. Un rol-cheie la nivel național, așa cum s</w:t>
            </w:r>
            <w:r>
              <w:rPr>
                <w:rFonts w:ascii="Calibri Light" w:hAnsi="Calibri Light" w:cs="Calibri Light"/>
                <w:color w:val="000000" w:themeColor="text1"/>
                <w:lang w:val="ro-RO"/>
              </w:rPr>
              <w:t>-</w:t>
            </w:r>
            <w:r w:rsidRPr="00D50450">
              <w:rPr>
                <w:rFonts w:ascii="Calibri Light" w:hAnsi="Calibri Light" w:cs="Calibri Light"/>
                <w:color w:val="000000" w:themeColor="text1"/>
                <w:lang w:val="ro-RO"/>
              </w:rPr>
              <w:t>a menționat mai sus, trebuie să fie jucat de inspectoratele de muncă, precum și de organi</w:t>
            </w:r>
            <w:r>
              <w:rPr>
                <w:rFonts w:ascii="Calibri Light" w:hAnsi="Calibri Light" w:cs="Calibri Light"/>
                <w:color w:val="000000" w:themeColor="text1"/>
                <w:lang w:val="ro-RO"/>
              </w:rPr>
              <w:t>zațiile sindicale și angajatori</w:t>
            </w:r>
            <w:r w:rsidRPr="00D50450">
              <w:rPr>
                <w:rFonts w:ascii="Calibri Light" w:hAnsi="Calibri Light" w:cs="Calibri Light"/>
                <w:color w:val="000000" w:themeColor="text1"/>
                <w:lang w:val="ro-RO"/>
              </w:rPr>
              <w:t xml:space="preserve">, în conformitate cu competențele și posibilitățile acestora. Atunci când se monitorizează anumite domenii asociate cu angajarea </w:t>
            </w:r>
            <w:r>
              <w:rPr>
                <w:rFonts w:ascii="Calibri Light" w:hAnsi="Calibri Light" w:cs="Calibri Light"/>
                <w:color w:val="000000" w:themeColor="text1"/>
                <w:lang w:val="ro-RO"/>
              </w:rPr>
              <w:t>personalului detașat</w:t>
            </w:r>
            <w:r w:rsidRPr="00D50450">
              <w:rPr>
                <w:rFonts w:ascii="Calibri Light" w:hAnsi="Calibri Light" w:cs="Calibri Light"/>
                <w:color w:val="000000" w:themeColor="text1"/>
                <w:lang w:val="ro-RO"/>
              </w:rPr>
              <w:t>, este necesar să se reamintească faptul că întregul proces trebuie desfășurat într-un mod nediscriminatoriu și obiectiv.</w:t>
            </w:r>
          </w:p>
          <w:p w:rsidR="004449C1" w:rsidRPr="00D50450" w:rsidRDefault="004449C1" w:rsidP="004449C1">
            <w:pPr>
              <w:ind w:firstLine="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Procesul de monitorizare ar fi condus de către ministere (de exemplu, ministerul muncii), inspectoratele de muncă, organizațiile sindicale și organizațiile patronale, precum și alte entități specializate cu cunoștințe și experiență adecvate în domeniul detașării </w:t>
            </w:r>
            <w:r>
              <w:rPr>
                <w:rFonts w:ascii="Calibri Light" w:hAnsi="Calibri Light" w:cs="Calibri Light"/>
                <w:color w:val="000000" w:themeColor="text1"/>
                <w:lang w:val="ro-RO"/>
              </w:rPr>
              <w:t>angajaţilor</w:t>
            </w:r>
            <w:r w:rsidRPr="00D50450">
              <w:rPr>
                <w:rFonts w:ascii="Calibri Light" w:hAnsi="Calibri Light" w:cs="Calibri Light"/>
                <w:color w:val="000000" w:themeColor="text1"/>
                <w:lang w:val="ro-RO"/>
              </w:rPr>
              <w:t>.</w:t>
            </w:r>
          </w:p>
          <w:p w:rsidR="004449C1" w:rsidRPr="00D50450" w:rsidRDefault="004449C1" w:rsidP="004449C1">
            <w:pPr>
              <w:ind w:firstLine="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Monitorizarea trebuie să includă o analiză detaliată a situației din fiecare țară în care sunt detașați </w:t>
            </w:r>
            <w:r>
              <w:rPr>
                <w:rFonts w:ascii="Calibri Light" w:hAnsi="Calibri Light" w:cs="Calibri Light"/>
                <w:color w:val="000000" w:themeColor="text1"/>
                <w:lang w:val="ro-RO"/>
              </w:rPr>
              <w:t>angajaţii</w:t>
            </w:r>
            <w:r w:rsidRPr="00D50450">
              <w:rPr>
                <w:rFonts w:ascii="Calibri Light" w:hAnsi="Calibri Light" w:cs="Calibri Light"/>
                <w:color w:val="000000" w:themeColor="text1"/>
                <w:lang w:val="ro-RO"/>
              </w:rPr>
              <w:t xml:space="preserve">. O astfel de evaluare ar trebui să țină cont de diversificarea provocărilor, precum și de necesitatea de a stabili în mod adecvat prioritățile </w:t>
            </w:r>
            <w:r>
              <w:rPr>
                <w:rFonts w:ascii="Calibri Light" w:hAnsi="Calibri Light" w:cs="Calibri Light"/>
                <w:color w:val="000000" w:themeColor="text1"/>
                <w:lang w:val="ro-RO"/>
              </w:rPr>
              <w:t>din cauza</w:t>
            </w:r>
            <w:r w:rsidRPr="00D50450">
              <w:rPr>
                <w:rFonts w:ascii="Calibri Light" w:hAnsi="Calibri Light" w:cs="Calibri Light"/>
                <w:color w:val="000000" w:themeColor="text1"/>
                <w:lang w:val="ro-RO"/>
              </w:rPr>
              <w:t xml:space="preserve"> diferențelor dintre punctele de plecare și mijloacele accesibile în anumite țări.</w:t>
            </w:r>
          </w:p>
          <w:p w:rsidR="004449C1" w:rsidRPr="00D50450" w:rsidRDefault="004449C1" w:rsidP="004449C1">
            <w:pPr>
              <w:ind w:firstLine="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Informațiile pentru analiză ar putea fi obținute printr-un dialog profund; informațiile ar fi transmise pe tot parcursul anului într-un mod clar, accesibil tuturor părților interesate. Astfel de acțiuni ar </w:t>
            </w:r>
            <w:r>
              <w:rPr>
                <w:rFonts w:ascii="Calibri Light" w:hAnsi="Calibri Light" w:cs="Calibri Light"/>
                <w:color w:val="000000" w:themeColor="text1"/>
                <w:lang w:val="ro-RO"/>
              </w:rPr>
              <w:t>presupune</w:t>
            </w:r>
            <w:r w:rsidRPr="00D50450">
              <w:rPr>
                <w:rFonts w:ascii="Calibri Light" w:hAnsi="Calibri Light" w:cs="Calibri Light"/>
                <w:color w:val="000000" w:themeColor="text1"/>
                <w:lang w:val="ro-RO"/>
              </w:rPr>
              <w:t xml:space="preserve"> o evaluare reciprocă și o analiză comparativă între statele membre.</w:t>
            </w:r>
          </w:p>
          <w:p w:rsidR="004449C1" w:rsidRPr="00D50450" w:rsidRDefault="004449C1" w:rsidP="004449C1">
            <w:pPr>
              <w:ind w:firstLine="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În ceea ce privește problema indicatorilor de eficiență care pot fi utilizați pentru a monitoriza condițiile de angajare ale </w:t>
            </w:r>
            <w:r>
              <w:rPr>
                <w:rFonts w:ascii="Calibri Light" w:hAnsi="Calibri Light" w:cs="Calibri Light"/>
                <w:color w:val="000000" w:themeColor="text1"/>
                <w:lang w:val="ro-RO"/>
              </w:rPr>
              <w:t>persoanelor</w:t>
            </w:r>
            <w:r w:rsidRPr="00D50450">
              <w:rPr>
                <w:rFonts w:ascii="Calibri Light" w:hAnsi="Calibri Light" w:cs="Calibri Light"/>
                <w:color w:val="000000" w:themeColor="text1"/>
                <w:lang w:val="ro-RO"/>
              </w:rPr>
              <w:t xml:space="preserve"> detașa</w:t>
            </w:r>
            <w:r>
              <w:rPr>
                <w:rFonts w:ascii="Calibri Light" w:hAnsi="Calibri Light" w:cs="Calibri Light"/>
                <w:color w:val="000000" w:themeColor="text1"/>
                <w:lang w:val="ro-RO"/>
              </w:rPr>
              <w:t>te</w:t>
            </w:r>
            <w:r w:rsidRPr="00D50450">
              <w:rPr>
                <w:rFonts w:ascii="Calibri Light" w:hAnsi="Calibri Light" w:cs="Calibri Light"/>
                <w:color w:val="000000" w:themeColor="text1"/>
                <w:lang w:val="ro-RO"/>
              </w:rPr>
              <w:t xml:space="preserve"> într-o anumită țară, se pare că ar trebui </w:t>
            </w:r>
            <w:r>
              <w:rPr>
                <w:rFonts w:ascii="Calibri Light" w:hAnsi="Calibri Light" w:cs="Calibri Light"/>
                <w:color w:val="000000" w:themeColor="text1"/>
                <w:lang w:val="ro-RO"/>
              </w:rPr>
              <w:t>abordat</w:t>
            </w:r>
            <w:r w:rsidRPr="00D50450">
              <w:rPr>
                <w:rFonts w:ascii="Calibri Light" w:hAnsi="Calibri Light" w:cs="Calibri Light"/>
                <w:color w:val="000000" w:themeColor="text1"/>
                <w:lang w:val="ro-RO"/>
              </w:rPr>
              <w:t xml:space="preserve"> pe două niveluri:</w:t>
            </w:r>
          </w:p>
          <w:p w:rsidR="004449C1" w:rsidRPr="00D50450" w:rsidRDefault="004449C1" w:rsidP="004449C1">
            <w:pPr>
              <w:pStyle w:val="HTMLPreformatted"/>
              <w:numPr>
                <w:ilvl w:val="0"/>
                <w:numId w:val="28"/>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lastRenderedPageBreak/>
              <w:t>nivel central - într-</w:t>
            </w:r>
            <w:r>
              <w:rPr>
                <w:rFonts w:ascii="Calibri Light" w:eastAsiaTheme="minorHAnsi" w:hAnsi="Calibri Light" w:cs="Calibri Light"/>
                <w:color w:val="000000" w:themeColor="text1"/>
                <w:sz w:val="22"/>
                <w:szCs w:val="22"/>
                <w:lang w:val="ro-RO"/>
              </w:rPr>
              <w:t>o</w:t>
            </w:r>
            <w:r w:rsidRPr="00D50450">
              <w:rPr>
                <w:rFonts w:ascii="Calibri Light" w:eastAsiaTheme="minorHAnsi" w:hAnsi="Calibri Light" w:cs="Calibri Light"/>
                <w:color w:val="000000" w:themeColor="text1"/>
                <w:sz w:val="22"/>
                <w:szCs w:val="22"/>
                <w:lang w:val="ro-RO"/>
              </w:rPr>
              <w:t xml:space="preserve"> </w:t>
            </w:r>
            <w:r>
              <w:rPr>
                <w:rFonts w:ascii="Calibri Light" w:eastAsiaTheme="minorHAnsi" w:hAnsi="Calibri Light" w:cs="Calibri Light"/>
                <w:color w:val="000000" w:themeColor="text1"/>
                <w:sz w:val="22"/>
                <w:szCs w:val="22"/>
                <w:lang w:val="ro-RO"/>
              </w:rPr>
              <w:t>privire</w:t>
            </w:r>
            <w:r w:rsidRPr="00D50450">
              <w:rPr>
                <w:rFonts w:ascii="Calibri Light" w:eastAsiaTheme="minorHAnsi" w:hAnsi="Calibri Light" w:cs="Calibri Light"/>
                <w:color w:val="000000" w:themeColor="text1"/>
                <w:sz w:val="22"/>
                <w:szCs w:val="22"/>
                <w:lang w:val="ro-RO"/>
              </w:rPr>
              <w:t xml:space="preserve"> general</w:t>
            </w:r>
            <w:r>
              <w:rPr>
                <w:rFonts w:ascii="Calibri Light" w:eastAsiaTheme="minorHAnsi" w:hAnsi="Calibri Light" w:cs="Calibri Light"/>
                <w:color w:val="000000" w:themeColor="text1"/>
                <w:sz w:val="22"/>
                <w:szCs w:val="22"/>
                <w:lang w:val="ro-RO"/>
              </w:rPr>
              <w:t>ă</w:t>
            </w:r>
            <w:r w:rsidRPr="00D50450">
              <w:rPr>
                <w:rFonts w:ascii="Calibri Light" w:eastAsiaTheme="minorHAnsi" w:hAnsi="Calibri Light" w:cs="Calibri Light"/>
                <w:color w:val="000000" w:themeColor="text1"/>
                <w:sz w:val="22"/>
                <w:szCs w:val="22"/>
                <w:lang w:val="ro-RO"/>
              </w:rPr>
              <w:t xml:space="preserve"> </w:t>
            </w:r>
            <w:r>
              <w:rPr>
                <w:rFonts w:ascii="Calibri Light" w:eastAsiaTheme="minorHAnsi" w:hAnsi="Calibri Light" w:cs="Calibri Light"/>
                <w:color w:val="000000" w:themeColor="text1"/>
                <w:sz w:val="22"/>
                <w:szCs w:val="22"/>
                <w:lang w:val="ro-RO"/>
              </w:rPr>
              <w:t>asupra</w:t>
            </w:r>
            <w:r w:rsidRPr="00D50450">
              <w:rPr>
                <w:rFonts w:ascii="Calibri Light" w:eastAsiaTheme="minorHAnsi" w:hAnsi="Calibri Light" w:cs="Calibri Light"/>
                <w:color w:val="000000" w:themeColor="text1"/>
                <w:sz w:val="22"/>
                <w:szCs w:val="22"/>
                <w:lang w:val="ro-RO"/>
              </w:rPr>
              <w:t xml:space="preserve"> scării naționale </w:t>
            </w:r>
            <w:r>
              <w:rPr>
                <w:rFonts w:ascii="Calibri Light" w:eastAsiaTheme="minorHAnsi" w:hAnsi="Calibri Light" w:cs="Calibri Light"/>
                <w:color w:val="000000" w:themeColor="text1"/>
                <w:sz w:val="22"/>
                <w:szCs w:val="22"/>
                <w:lang w:val="ro-RO"/>
              </w:rPr>
              <w:t>a ocupării forței de muncă și a</w:t>
            </w:r>
            <w:r w:rsidRPr="00D50450">
              <w:rPr>
                <w:rFonts w:ascii="Calibri Light" w:eastAsiaTheme="minorHAnsi" w:hAnsi="Calibri Light" w:cs="Calibri Light"/>
                <w:color w:val="000000" w:themeColor="text1"/>
                <w:sz w:val="22"/>
                <w:szCs w:val="22"/>
                <w:lang w:val="ro-RO"/>
              </w:rPr>
              <w:t xml:space="preserve"> problemelor asociate.</w:t>
            </w:r>
          </w:p>
          <w:p w:rsidR="004449C1" w:rsidRPr="00D50450" w:rsidRDefault="004449C1" w:rsidP="004449C1">
            <w:pPr>
              <w:pStyle w:val="HTMLPreformatted"/>
              <w:numPr>
                <w:ilvl w:val="0"/>
                <w:numId w:val="28"/>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la locul de muncă - în ceea ce privește ocuparea forței de muncă la un anumit loc de muncă și problemele asociate. O problemă care merită luată în considerare este posibila introducerea unui nivel sectorial, deși în Polonia, de exemplu, ar fi dificilă din cauza reticenței angajatorilor de a se organiza, ceea ce, la rândul său, înseamnă că sunt reticenți în a coopera.</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La nivel central, ar fi bine să se ia în considerare crearea unei </w:t>
            </w:r>
            <w:r>
              <w:rPr>
                <w:rFonts w:ascii="Calibri Light" w:eastAsiaTheme="minorHAnsi" w:hAnsi="Calibri Light" w:cs="Calibri Light"/>
                <w:color w:val="000000" w:themeColor="text1"/>
                <w:sz w:val="22"/>
                <w:szCs w:val="22"/>
                <w:lang w:val="ro-RO"/>
              </w:rPr>
              <w:t>E</w:t>
            </w:r>
            <w:r w:rsidRPr="00D50450">
              <w:rPr>
                <w:rFonts w:ascii="Calibri Light" w:eastAsiaTheme="minorHAnsi" w:hAnsi="Calibri Light" w:cs="Calibri Light"/>
                <w:color w:val="000000" w:themeColor="text1"/>
                <w:sz w:val="22"/>
                <w:szCs w:val="22"/>
                <w:lang w:val="ro-RO"/>
              </w:rPr>
              <w:t xml:space="preserve">chipe </w:t>
            </w:r>
            <w:r>
              <w:rPr>
                <w:rFonts w:ascii="Calibri Light" w:eastAsiaTheme="minorHAnsi" w:hAnsi="Calibri Light" w:cs="Calibri Light"/>
                <w:color w:val="000000" w:themeColor="text1"/>
                <w:sz w:val="22"/>
                <w:szCs w:val="22"/>
                <w:lang w:val="ro-RO"/>
              </w:rPr>
              <w:t>S</w:t>
            </w:r>
            <w:r w:rsidRPr="00D50450">
              <w:rPr>
                <w:rFonts w:ascii="Calibri Light" w:eastAsiaTheme="minorHAnsi" w:hAnsi="Calibri Light" w:cs="Calibri Light"/>
                <w:color w:val="000000" w:themeColor="text1"/>
                <w:sz w:val="22"/>
                <w:szCs w:val="22"/>
                <w:lang w:val="ro-RO"/>
              </w:rPr>
              <w:t xml:space="preserve">peciale de </w:t>
            </w:r>
            <w:r>
              <w:rPr>
                <w:rFonts w:ascii="Calibri Light" w:eastAsiaTheme="minorHAnsi" w:hAnsi="Calibri Light" w:cs="Calibri Light"/>
                <w:color w:val="000000" w:themeColor="text1"/>
                <w:sz w:val="22"/>
                <w:szCs w:val="22"/>
                <w:lang w:val="ro-RO"/>
              </w:rPr>
              <w:t>C</w:t>
            </w:r>
            <w:r w:rsidRPr="00D50450">
              <w:rPr>
                <w:rFonts w:ascii="Calibri Light" w:eastAsiaTheme="minorHAnsi" w:hAnsi="Calibri Light" w:cs="Calibri Light"/>
                <w:color w:val="000000" w:themeColor="text1"/>
                <w:sz w:val="22"/>
                <w:szCs w:val="22"/>
                <w:lang w:val="ro-RO"/>
              </w:rPr>
              <w:t>oordonare (</w:t>
            </w:r>
            <w:r>
              <w:rPr>
                <w:rFonts w:ascii="Calibri Light" w:eastAsiaTheme="minorHAnsi" w:hAnsi="Calibri Light" w:cs="Calibri Light"/>
                <w:color w:val="000000" w:themeColor="text1"/>
                <w:sz w:val="22"/>
                <w:szCs w:val="22"/>
                <w:lang w:val="ro-RO"/>
              </w:rPr>
              <w:t>ESC</w:t>
            </w:r>
            <w:r w:rsidRPr="00D50450">
              <w:rPr>
                <w:rFonts w:ascii="Calibri Light" w:eastAsiaTheme="minorHAnsi" w:hAnsi="Calibri Light" w:cs="Calibri Light"/>
                <w:color w:val="000000" w:themeColor="text1"/>
                <w:sz w:val="22"/>
                <w:szCs w:val="22"/>
                <w:lang w:val="ro-RO"/>
              </w:rPr>
              <w:t>), a</w:t>
            </w:r>
            <w:r>
              <w:rPr>
                <w:rFonts w:ascii="Calibri Light" w:eastAsiaTheme="minorHAnsi" w:hAnsi="Calibri Light" w:cs="Calibri Light"/>
                <w:color w:val="000000" w:themeColor="text1"/>
                <w:sz w:val="22"/>
                <w:szCs w:val="22"/>
                <w:lang w:val="ro-RO"/>
              </w:rPr>
              <w:t>i</w:t>
            </w:r>
            <w:r w:rsidRPr="00D50450">
              <w:rPr>
                <w:rFonts w:ascii="Calibri Light" w:eastAsiaTheme="minorHAnsi" w:hAnsi="Calibri Light" w:cs="Calibri Light"/>
                <w:color w:val="000000" w:themeColor="text1"/>
                <w:sz w:val="22"/>
                <w:szCs w:val="22"/>
                <w:lang w:val="ro-RO"/>
              </w:rPr>
              <w:t xml:space="preserve"> cărei membri vor fi reprezentanți ai ministerelor, altor organe ale administrației publice, organizațiilor patronale și ale angajaților, precum și instituții interesate </w:t>
            </w:r>
            <w:r>
              <w:rPr>
                <w:rFonts w:ascii="Calibri Light" w:eastAsiaTheme="minorHAnsi" w:hAnsi="Calibri Light" w:cs="Calibri Light"/>
                <w:color w:val="000000" w:themeColor="text1"/>
                <w:sz w:val="22"/>
                <w:szCs w:val="22"/>
                <w:lang w:val="ro-RO"/>
              </w:rPr>
              <w:t>în</w:t>
            </w:r>
            <w:r w:rsidRPr="00D50450">
              <w:rPr>
                <w:rFonts w:ascii="Calibri Light" w:eastAsiaTheme="minorHAnsi" w:hAnsi="Calibri Light" w:cs="Calibri Light"/>
                <w:color w:val="000000" w:themeColor="text1"/>
                <w:sz w:val="22"/>
                <w:szCs w:val="22"/>
                <w:lang w:val="ro-RO"/>
              </w:rPr>
              <w:t xml:space="preserve"> d</w:t>
            </w:r>
            <w:r>
              <w:rPr>
                <w:rFonts w:ascii="Calibri Light" w:eastAsiaTheme="minorHAnsi" w:hAnsi="Calibri Light" w:cs="Calibri Light"/>
                <w:color w:val="000000" w:themeColor="text1"/>
                <w:sz w:val="22"/>
                <w:szCs w:val="22"/>
                <w:lang w:val="ro-RO"/>
              </w:rPr>
              <w:t>etașare, și experți în domenii de</w:t>
            </w:r>
            <w:r w:rsidRPr="00D50450">
              <w:rPr>
                <w:rFonts w:ascii="Calibri Light" w:eastAsiaTheme="minorHAnsi" w:hAnsi="Calibri Light" w:cs="Calibri Light"/>
                <w:color w:val="000000" w:themeColor="text1"/>
                <w:sz w:val="22"/>
                <w:szCs w:val="22"/>
                <w:lang w:val="ro-RO"/>
              </w:rPr>
              <w:t xml:space="preserve"> </w:t>
            </w:r>
            <w:r>
              <w:rPr>
                <w:rFonts w:ascii="Calibri Light" w:eastAsiaTheme="minorHAnsi" w:hAnsi="Calibri Light" w:cs="Calibri Light"/>
                <w:color w:val="000000" w:themeColor="text1"/>
                <w:sz w:val="22"/>
                <w:szCs w:val="22"/>
                <w:lang w:val="ro-RO"/>
              </w:rPr>
              <w:t>informaţii</w:t>
            </w:r>
            <w:r w:rsidRPr="00D50450">
              <w:rPr>
                <w:rFonts w:ascii="Calibri Light" w:eastAsiaTheme="minorHAnsi" w:hAnsi="Calibri Light" w:cs="Calibri Light"/>
                <w:color w:val="000000" w:themeColor="text1"/>
                <w:sz w:val="22"/>
                <w:szCs w:val="22"/>
                <w:lang w:val="ro-RO"/>
              </w:rPr>
              <w:t xml:space="preserve"> asociate </w:t>
            </w:r>
            <w:r>
              <w:rPr>
                <w:rFonts w:ascii="Calibri Light" w:eastAsiaTheme="minorHAnsi" w:hAnsi="Calibri Light" w:cs="Calibri Light"/>
                <w:color w:val="000000" w:themeColor="text1"/>
                <w:sz w:val="22"/>
                <w:szCs w:val="22"/>
                <w:lang w:val="ro-RO"/>
              </w:rPr>
              <w:t>procesului de detaşare</w:t>
            </w:r>
            <w:r w:rsidRPr="00D50450">
              <w:rPr>
                <w:rFonts w:ascii="Calibri Light" w:eastAsiaTheme="minorHAnsi" w:hAnsi="Calibri Light" w:cs="Calibri Light"/>
                <w:color w:val="000000" w:themeColor="text1"/>
                <w:sz w:val="22"/>
                <w:szCs w:val="22"/>
                <w:lang w:val="ro-RO"/>
              </w:rPr>
              <w:t xml:space="preserve">. Ar putea fi, de asemenea, echipe într-o formă mai limitată, care ar "reacționa rapid" la orice cazuri de încălcare a legii sau deficiențe ale sistemelor juridice naționale. O astfel de entitate ar examina calitatea legislației naționale în ceea ce privește standardele incluse în directive și ar reacționa în cazurile </w:t>
            </w:r>
            <w:r>
              <w:rPr>
                <w:rFonts w:ascii="Calibri Light" w:eastAsiaTheme="minorHAnsi" w:hAnsi="Calibri Light" w:cs="Calibri Light"/>
                <w:color w:val="000000" w:themeColor="text1"/>
                <w:sz w:val="22"/>
                <w:szCs w:val="22"/>
                <w:lang w:val="ro-RO"/>
              </w:rPr>
              <w:t>în care s-ar semnaliza</w:t>
            </w:r>
            <w:r w:rsidRPr="00D50450">
              <w:rPr>
                <w:rFonts w:ascii="Calibri Light" w:eastAsiaTheme="minorHAnsi" w:hAnsi="Calibri Light" w:cs="Calibri Light"/>
                <w:color w:val="000000" w:themeColor="text1"/>
                <w:sz w:val="22"/>
                <w:szCs w:val="22"/>
                <w:lang w:val="ro-RO"/>
              </w:rPr>
              <w:t xml:space="preserve"> probleme.</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Pr>
                <w:rFonts w:ascii="Calibri Light" w:eastAsiaTheme="minorHAnsi" w:hAnsi="Calibri Light" w:cs="Calibri Light"/>
                <w:color w:val="000000" w:themeColor="text1"/>
                <w:sz w:val="22"/>
                <w:szCs w:val="22"/>
                <w:lang w:val="ro-RO"/>
              </w:rPr>
              <w:t>ESC</w:t>
            </w:r>
            <w:r w:rsidRPr="00D50450">
              <w:rPr>
                <w:rFonts w:ascii="Calibri Light" w:eastAsiaTheme="minorHAnsi" w:hAnsi="Calibri Light" w:cs="Calibri Light"/>
                <w:color w:val="000000" w:themeColor="text1"/>
                <w:sz w:val="22"/>
                <w:szCs w:val="22"/>
                <w:lang w:val="ro-RO"/>
              </w:rPr>
              <w:t xml:space="preserve"> ar putea implementa, de asemenea, următoarele acțiuni:</w:t>
            </w:r>
          </w:p>
          <w:p w:rsidR="004449C1" w:rsidRPr="00D50450" w:rsidRDefault="004449C1" w:rsidP="004449C1">
            <w:pPr>
              <w:pStyle w:val="HTMLPreformatted"/>
              <w:numPr>
                <w:ilvl w:val="0"/>
                <w:numId w:val="29"/>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ajutor substanțial și analitic, încurajarea schimbului de bune practici între statele membre și părțile interesate,</w:t>
            </w:r>
          </w:p>
          <w:p w:rsidR="004449C1" w:rsidRPr="00D50450" w:rsidRDefault="004449C1" w:rsidP="004449C1">
            <w:pPr>
              <w:pStyle w:val="HTMLPreformatted"/>
              <w:numPr>
                <w:ilvl w:val="0"/>
                <w:numId w:val="29"/>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revizuirea rezultatelor în domeniul ocupării forței de muncă și al aspectelor sociale asociate </w:t>
            </w:r>
            <w:r>
              <w:rPr>
                <w:rFonts w:ascii="Calibri Light" w:eastAsiaTheme="minorHAnsi" w:hAnsi="Calibri Light" w:cs="Calibri Light"/>
                <w:color w:val="000000" w:themeColor="text1"/>
                <w:sz w:val="22"/>
                <w:szCs w:val="22"/>
                <w:lang w:val="ro-RO"/>
              </w:rPr>
              <w:t>angajaţilor</w:t>
            </w:r>
            <w:r w:rsidRPr="00D50450">
              <w:rPr>
                <w:rFonts w:ascii="Calibri Light" w:eastAsiaTheme="minorHAnsi" w:hAnsi="Calibri Light" w:cs="Calibri Light"/>
                <w:color w:val="000000" w:themeColor="text1"/>
                <w:sz w:val="22"/>
                <w:szCs w:val="22"/>
                <w:lang w:val="ro-RO"/>
              </w:rPr>
              <w:t xml:space="preserve"> detașați,</w:t>
            </w:r>
          </w:p>
          <w:p w:rsidR="004449C1" w:rsidRPr="00D50450" w:rsidRDefault="004449C1" w:rsidP="004449C1">
            <w:pPr>
              <w:pStyle w:val="HTMLPreformatted"/>
              <w:numPr>
                <w:ilvl w:val="0"/>
                <w:numId w:val="29"/>
              </w:numPr>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dezvoltarea unor metode eficiente (indicatori) de aplicare și respectare a legii.</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La nivelul locului de muncă, s-ar putea crea forme și proceduri de cooperare între angajatori, organizațiile sindicale și inspectoratele regionale de muncă. Aceste acțiuni </w:t>
            </w:r>
            <w:r>
              <w:rPr>
                <w:rFonts w:ascii="Calibri Light" w:eastAsiaTheme="minorHAnsi" w:hAnsi="Calibri Light" w:cs="Calibri Light"/>
                <w:color w:val="000000" w:themeColor="text1"/>
                <w:sz w:val="22"/>
                <w:szCs w:val="22"/>
                <w:lang w:val="ro-RO"/>
              </w:rPr>
              <w:t>s-ar putea</w:t>
            </w:r>
            <w:r w:rsidRPr="00D50450">
              <w:rPr>
                <w:rFonts w:ascii="Calibri Light" w:eastAsiaTheme="minorHAnsi" w:hAnsi="Calibri Light" w:cs="Calibri Light"/>
                <w:color w:val="000000" w:themeColor="text1"/>
                <w:sz w:val="22"/>
                <w:szCs w:val="22"/>
                <w:lang w:val="ro-RO"/>
              </w:rPr>
              <w:t xml:space="preserve"> desfășura pe o scară micro, pe baza locurilor de muncă și a problemelor apărute la un anumit loc de muncă.</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Orice indicator adoptat ar putea fi asociat cu:</w:t>
            </w:r>
          </w:p>
          <w:p w:rsidR="004449C1" w:rsidRPr="00D50450" w:rsidRDefault="004449C1" w:rsidP="004449C1">
            <w:pPr>
              <w:pStyle w:val="ListParagraph"/>
              <w:numPr>
                <w:ilvl w:val="0"/>
                <w:numId w:val="30"/>
              </w:num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mecanism cantitativ - care ar monitoriza numărul rapoartelor și natura lor,</w:t>
            </w:r>
          </w:p>
          <w:p w:rsidR="004449C1" w:rsidRPr="00D50450" w:rsidRDefault="004449C1" w:rsidP="004449C1">
            <w:pPr>
              <w:pStyle w:val="ListParagraph"/>
              <w:numPr>
                <w:ilvl w:val="0"/>
                <w:numId w:val="30"/>
              </w:num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mecanismul practic - o metodă de soluționare a unui conflict dat, precum și evaluarea </w:t>
            </w:r>
            <w:r>
              <w:rPr>
                <w:rFonts w:ascii="Calibri Light" w:hAnsi="Calibri Light" w:cs="Calibri Light"/>
                <w:color w:val="000000" w:themeColor="text1"/>
                <w:lang w:val="ro-RO"/>
              </w:rPr>
              <w:t xml:space="preserve">faptului daca </w:t>
            </w:r>
            <w:r w:rsidRPr="00D50450">
              <w:rPr>
                <w:rFonts w:ascii="Calibri Light" w:hAnsi="Calibri Light" w:cs="Calibri Light"/>
                <w:color w:val="000000" w:themeColor="text1"/>
                <w:lang w:val="ro-RO"/>
              </w:rPr>
              <w:t xml:space="preserve">modului în care acesta </w:t>
            </w:r>
            <w:r>
              <w:rPr>
                <w:rFonts w:ascii="Calibri Light" w:hAnsi="Calibri Light" w:cs="Calibri Light"/>
                <w:color w:val="000000" w:themeColor="text1"/>
                <w:lang w:val="ro-RO"/>
              </w:rPr>
              <w:t>va fi tratat, va duce la</w:t>
            </w:r>
            <w:r w:rsidRPr="00D50450">
              <w:rPr>
                <w:rFonts w:ascii="Calibri Light" w:hAnsi="Calibri Light" w:cs="Calibri Light"/>
                <w:color w:val="000000" w:themeColor="text1"/>
                <w:lang w:val="ro-RO"/>
              </w:rPr>
              <w:t xml:space="preserve"> creșterea eficienței în domeniul aplicării și respectării legii și a faptului dacă </w:t>
            </w:r>
            <w:r>
              <w:rPr>
                <w:rFonts w:ascii="Calibri Light" w:hAnsi="Calibri Light" w:cs="Calibri Light"/>
                <w:color w:val="000000" w:themeColor="text1"/>
                <w:lang w:val="ro-RO"/>
              </w:rPr>
              <w:t xml:space="preserve">acesta </w:t>
            </w:r>
            <w:r w:rsidRPr="00D50450">
              <w:rPr>
                <w:rFonts w:ascii="Calibri Light" w:hAnsi="Calibri Light" w:cs="Calibri Light"/>
                <w:color w:val="000000" w:themeColor="text1"/>
                <w:lang w:val="ro-RO"/>
              </w:rPr>
              <w:t>afectează numărul de rapoarte viitoare,</w:t>
            </w:r>
          </w:p>
          <w:p w:rsidR="004449C1" w:rsidRPr="00D50450" w:rsidRDefault="004449C1" w:rsidP="004449C1">
            <w:pPr>
              <w:pStyle w:val="ListParagraph"/>
              <w:numPr>
                <w:ilvl w:val="0"/>
                <w:numId w:val="30"/>
              </w:num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mecanismul de direcție </w:t>
            </w:r>
            <w:r>
              <w:rPr>
                <w:rFonts w:ascii="Calibri Light" w:hAnsi="Calibri Light" w:cs="Calibri Light"/>
                <w:color w:val="000000" w:themeColor="text1"/>
                <w:lang w:val="ro-RO"/>
              </w:rPr>
              <w:t>–</w:t>
            </w:r>
            <w:r w:rsidRPr="00D50450">
              <w:rPr>
                <w:rFonts w:ascii="Calibri Light" w:hAnsi="Calibri Light" w:cs="Calibri Light"/>
                <w:color w:val="000000" w:themeColor="text1"/>
                <w:lang w:val="ro-RO"/>
              </w:rPr>
              <w:t xml:space="preserve"> </w:t>
            </w:r>
            <w:r>
              <w:rPr>
                <w:rFonts w:ascii="Calibri Light" w:hAnsi="Calibri Light" w:cs="Calibri Light"/>
                <w:color w:val="000000" w:themeColor="text1"/>
                <w:lang w:val="ro-RO"/>
              </w:rPr>
              <w:t>se va evalua</w:t>
            </w:r>
            <w:r w:rsidRPr="00D50450">
              <w:rPr>
                <w:rFonts w:ascii="Calibri Light" w:hAnsi="Calibri Light" w:cs="Calibri Light"/>
                <w:color w:val="000000" w:themeColor="text1"/>
                <w:lang w:val="ro-RO"/>
              </w:rPr>
              <w:t xml:space="preserve"> dacă o anumită problemă va duce la necesitatea introducerii unor modificări legislative sau de altă natură, adecvate pentru normalizarea completă a unei probleme date. </w:t>
            </w:r>
          </w:p>
          <w:p w:rsidR="004449C1" w:rsidRDefault="004449C1" w:rsidP="004449C1">
            <w:pPr>
              <w:ind w:firstLine="522"/>
              <w:jc w:val="both"/>
              <w:rPr>
                <w:rFonts w:ascii="Calibri Light" w:hAnsi="Calibri Light" w:cs="Calibri Light"/>
                <w:color w:val="000000" w:themeColor="text1"/>
                <w:lang w:val="ro-RO"/>
              </w:rPr>
            </w:pPr>
          </w:p>
          <w:p w:rsidR="004449C1" w:rsidRPr="00D50450" w:rsidRDefault="004449C1" w:rsidP="004449C1">
            <w:pPr>
              <w:ind w:firstLine="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Rapoartele </w:t>
            </w:r>
            <w:r>
              <w:rPr>
                <w:rFonts w:ascii="Calibri Light" w:hAnsi="Calibri Light" w:cs="Calibri Light"/>
                <w:color w:val="000000" w:themeColor="text1"/>
                <w:lang w:val="ro-RO"/>
              </w:rPr>
              <w:t>puse la dispoziţie de</w:t>
            </w:r>
            <w:r w:rsidRPr="00D50450">
              <w:rPr>
                <w:rFonts w:ascii="Calibri Light" w:hAnsi="Calibri Light" w:cs="Calibri Light"/>
                <w:color w:val="000000" w:themeColor="text1"/>
                <w:lang w:val="ro-RO"/>
              </w:rPr>
              <w:t xml:space="preserve"> părțil</w:t>
            </w:r>
            <w:r>
              <w:rPr>
                <w:rFonts w:ascii="Calibri Light" w:hAnsi="Calibri Light" w:cs="Calibri Light"/>
                <w:color w:val="000000" w:themeColor="text1"/>
                <w:lang w:val="ro-RO"/>
              </w:rPr>
              <w:t>e</w:t>
            </w:r>
            <w:r w:rsidRPr="00D50450">
              <w:rPr>
                <w:rFonts w:ascii="Calibri Light" w:hAnsi="Calibri Light" w:cs="Calibri Light"/>
                <w:color w:val="000000" w:themeColor="text1"/>
                <w:lang w:val="ro-RO"/>
              </w:rPr>
              <w:t xml:space="preserve"> interesate ar putea fi colectate prin intermediul unor formulare adecvate care să indice anumite probleme legate de ocuparea forței de muncă. Se pare că soluția optimă ar fi metodele de comunicare electronică, deoarece oferă mai multe posibilități și accelerează procedurile specifice. Astfel de formulare ar putea fi furnizate pe site-urile</w:t>
            </w:r>
            <w:r>
              <w:rPr>
                <w:rFonts w:ascii="Calibri Light" w:hAnsi="Calibri Light" w:cs="Calibri Light"/>
                <w:color w:val="000000" w:themeColor="text1"/>
                <w:lang w:val="ro-RO"/>
              </w:rPr>
              <w:t xml:space="preserve"> de</w:t>
            </w:r>
            <w:r w:rsidRPr="00D50450">
              <w:rPr>
                <w:rFonts w:ascii="Calibri Light" w:hAnsi="Calibri Light" w:cs="Calibri Light"/>
                <w:color w:val="000000" w:themeColor="text1"/>
                <w:lang w:val="ro-RO"/>
              </w:rPr>
              <w:t xml:space="preserve"> internet ale partenerilor sociali și ale altor entități care participă la un anumit proces. </w:t>
            </w:r>
          </w:p>
          <w:p w:rsidR="004449C1" w:rsidRPr="00D50450" w:rsidRDefault="004449C1" w:rsidP="004449C1">
            <w:pPr>
              <w:ind w:firstLine="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În acest sens, este necesar să se sublinieze punerea în aplicare a normelor corespunzătoare de cooperare între partenerii sociali și administrația publică. Este necesar să se creeze platforme de cooperare și de schimb de informații în scopul monitorizării aplicării legii, precum și </w:t>
            </w:r>
            <w:r>
              <w:rPr>
                <w:rFonts w:ascii="Calibri Light" w:hAnsi="Calibri Light" w:cs="Calibri Light"/>
                <w:color w:val="000000" w:themeColor="text1"/>
                <w:lang w:val="ro-RO"/>
              </w:rPr>
              <w:t xml:space="preserve">al </w:t>
            </w:r>
            <w:r w:rsidRPr="00D50450">
              <w:rPr>
                <w:rFonts w:ascii="Calibri Light" w:hAnsi="Calibri Light" w:cs="Calibri Light"/>
                <w:color w:val="000000" w:themeColor="text1"/>
                <w:lang w:val="ro-RO"/>
              </w:rPr>
              <w:t xml:space="preserve">cooperării în crearea indicatorilor de eficiență și de evaluare a acestora. De asemenea, este </w:t>
            </w:r>
            <w:r>
              <w:rPr>
                <w:rFonts w:ascii="Calibri Light" w:hAnsi="Calibri Light" w:cs="Calibri Light"/>
                <w:color w:val="000000" w:themeColor="text1"/>
                <w:lang w:val="ro-RO"/>
              </w:rPr>
              <w:t>oportun</w:t>
            </w:r>
            <w:r w:rsidRPr="00D50450">
              <w:rPr>
                <w:rFonts w:ascii="Calibri Light" w:hAnsi="Calibri Light" w:cs="Calibri Light"/>
                <w:color w:val="000000" w:themeColor="text1"/>
                <w:lang w:val="ro-RO"/>
              </w:rPr>
              <w:t xml:space="preserve"> să se reamintească </w:t>
            </w:r>
            <w:r>
              <w:rPr>
                <w:rFonts w:ascii="Calibri Light" w:hAnsi="Calibri Light" w:cs="Calibri Light"/>
                <w:color w:val="000000" w:themeColor="text1"/>
                <w:lang w:val="ro-RO"/>
              </w:rPr>
              <w:t>necesitatea unei</w:t>
            </w:r>
            <w:r w:rsidRPr="00D50450">
              <w:rPr>
                <w:rFonts w:ascii="Calibri Light" w:hAnsi="Calibri Light" w:cs="Calibri Light"/>
                <w:color w:val="000000" w:themeColor="text1"/>
                <w:lang w:val="ro-RO"/>
              </w:rPr>
              <w:t xml:space="preserve"> coordon</w:t>
            </w:r>
            <w:r>
              <w:rPr>
                <w:rFonts w:ascii="Calibri Light" w:hAnsi="Calibri Light" w:cs="Calibri Light"/>
                <w:color w:val="000000" w:themeColor="text1"/>
                <w:lang w:val="ro-RO"/>
              </w:rPr>
              <w:t>ări</w:t>
            </w:r>
            <w:r w:rsidRPr="00D50450">
              <w:rPr>
                <w:rFonts w:ascii="Calibri Light" w:hAnsi="Calibri Light" w:cs="Calibri Light"/>
                <w:color w:val="000000" w:themeColor="text1"/>
                <w:lang w:val="ro-RO"/>
              </w:rPr>
              <w:t xml:space="preserve"> adecvat</w:t>
            </w:r>
            <w:r>
              <w:rPr>
                <w:rFonts w:ascii="Calibri Light" w:hAnsi="Calibri Light" w:cs="Calibri Light"/>
                <w:color w:val="000000" w:themeColor="text1"/>
                <w:lang w:val="ro-RO"/>
              </w:rPr>
              <w:t>e</w:t>
            </w:r>
            <w:r w:rsidRPr="00D50450">
              <w:rPr>
                <w:rFonts w:ascii="Calibri Light" w:hAnsi="Calibri Light" w:cs="Calibri Light"/>
                <w:color w:val="000000" w:themeColor="text1"/>
                <w:lang w:val="ro-RO"/>
              </w:rPr>
              <w:t xml:space="preserve"> a acțiunilor. </w:t>
            </w:r>
          </w:p>
          <w:p w:rsidR="004449C1" w:rsidRPr="00D50450" w:rsidRDefault="004449C1" w:rsidP="004449C1">
            <w:pPr>
              <w:ind w:firstLine="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O soluție interesantă care necesită sprijin este una dintre soluțiile incluse în pachetul pentru justiție socială, care a fost adoptat de Comisia Europeană la 13 martie 2018. Comisia a sugerat înființarea unui Birou European al Muncii în scopul completării inițiativelor anterioare în vederea îmbunătățirii reglementărilor privind detașarea </w:t>
            </w:r>
            <w:r>
              <w:rPr>
                <w:rFonts w:ascii="Calibri Light" w:hAnsi="Calibri Light" w:cs="Calibri Light"/>
                <w:color w:val="000000" w:themeColor="text1"/>
                <w:lang w:val="ro-RO"/>
              </w:rPr>
              <w:t>angajaţilor</w:t>
            </w:r>
            <w:r w:rsidRPr="00D50450">
              <w:rPr>
                <w:rFonts w:ascii="Calibri Light" w:hAnsi="Calibri Light" w:cs="Calibri Light"/>
                <w:color w:val="000000" w:themeColor="text1"/>
                <w:lang w:val="ro-RO"/>
              </w:rPr>
              <w:t xml:space="preserve"> și coordonarea sistemelor de </w:t>
            </w:r>
            <w:r>
              <w:rPr>
                <w:rFonts w:ascii="Calibri Light" w:hAnsi="Calibri Light" w:cs="Calibri Light"/>
                <w:color w:val="000000" w:themeColor="text1"/>
                <w:lang w:val="ro-RO"/>
              </w:rPr>
              <w:t>asigurare</w:t>
            </w:r>
            <w:r w:rsidRPr="00D50450">
              <w:rPr>
                <w:rFonts w:ascii="Calibri Light" w:hAnsi="Calibri Light" w:cs="Calibri Light"/>
                <w:color w:val="000000" w:themeColor="text1"/>
                <w:lang w:val="ro-RO"/>
              </w:rPr>
              <w:t xml:space="preserve"> socială. Comisia a subliniat că libera circulație este una dintre cele mai valoroase libertăți ale pieței interne - este favorabilă cetățenilor și societăților întregi, precum și economiei anumitor țări. De fapt, o serie largă de acte juridice a fost deja introdusă pentru a asigura o mobilitate simplă. Cu toate acestea, este important ca aceste principii să fie eficiente în practică. Potrivit Comisiei, Biroul propus ar avea următoarele sarcini: </w:t>
            </w:r>
          </w:p>
          <w:p w:rsidR="004449C1" w:rsidRPr="00D50450" w:rsidRDefault="004449C1" w:rsidP="004449C1">
            <w:pPr>
              <w:pStyle w:val="ListParagraph"/>
              <w:numPr>
                <w:ilvl w:val="0"/>
                <w:numId w:val="31"/>
              </w:num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să faciliteze accesul cetățenilor și al angajatorilor la informații privind drepturile și responsabilitățile acestora, precum și accesul la serviciile corespunzătoare;</w:t>
            </w:r>
          </w:p>
          <w:p w:rsidR="004449C1" w:rsidRPr="00D50450" w:rsidRDefault="004449C1" w:rsidP="004449C1">
            <w:pPr>
              <w:pStyle w:val="ListParagraph"/>
              <w:numPr>
                <w:ilvl w:val="0"/>
                <w:numId w:val="31"/>
              </w:num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 sprijinirea cooperării între statele membre în ceea ce privește aplicarea transfrontalieră a </w:t>
            </w:r>
            <w:r w:rsidRPr="00D50450">
              <w:rPr>
                <w:rFonts w:ascii="Calibri Light" w:hAnsi="Calibri Light" w:cs="Calibri Light"/>
                <w:color w:val="000000" w:themeColor="text1"/>
                <w:lang w:val="ro-RO"/>
              </w:rPr>
              <w:lastRenderedPageBreak/>
              <w:t>reglementărilor relevante ale UE, printre altele prin facilitarea controalelor comune;</w:t>
            </w:r>
          </w:p>
          <w:p w:rsidR="004449C1" w:rsidRPr="00D50450" w:rsidRDefault="004449C1" w:rsidP="004449C1">
            <w:pPr>
              <w:pStyle w:val="ListParagraph"/>
              <w:numPr>
                <w:ilvl w:val="0"/>
                <w:numId w:val="31"/>
              </w:num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concilierea și ajutorul în soluționarea litigiilor transfrontaliere între organismele naționale sau în </w:t>
            </w:r>
            <w:r>
              <w:rPr>
                <w:rFonts w:ascii="Calibri Light" w:hAnsi="Calibri Light" w:cs="Calibri Light"/>
                <w:color w:val="000000" w:themeColor="text1"/>
                <w:lang w:val="ro-RO"/>
              </w:rPr>
              <w:t>medierea</w:t>
            </w:r>
            <w:r w:rsidRPr="00D50450">
              <w:rPr>
                <w:rFonts w:ascii="Calibri Light" w:hAnsi="Calibri Light" w:cs="Calibri Light"/>
                <w:color w:val="000000" w:themeColor="text1"/>
                <w:lang w:val="ro-RO"/>
              </w:rPr>
              <w:t xml:space="preserve"> </w:t>
            </w:r>
            <w:r>
              <w:rPr>
                <w:rFonts w:ascii="Calibri Light" w:hAnsi="Calibri Light" w:cs="Calibri Light"/>
                <w:color w:val="000000" w:themeColor="text1"/>
                <w:lang w:val="ro-RO"/>
              </w:rPr>
              <w:t>conflictelor</w:t>
            </w:r>
            <w:r w:rsidRPr="00D50450">
              <w:rPr>
                <w:rFonts w:ascii="Calibri Light" w:hAnsi="Calibri Light" w:cs="Calibri Light"/>
                <w:color w:val="000000" w:themeColor="text1"/>
                <w:lang w:val="ro-RO"/>
              </w:rPr>
              <w:t xml:space="preserve"> de pe piața muncii.</w:t>
            </w:r>
          </w:p>
          <w:p w:rsidR="004449C1" w:rsidRPr="00D50450" w:rsidRDefault="004449C1" w:rsidP="004449C1">
            <w:pPr>
              <w:jc w:val="both"/>
              <w:rPr>
                <w:rFonts w:ascii="Calibri Light" w:hAnsi="Calibri Light" w:cs="Calibri Light"/>
                <w:color w:val="000000" w:themeColor="text1"/>
                <w:lang w:val="ro-RO"/>
              </w:rPr>
            </w:pPr>
          </w:p>
          <w:p w:rsidR="004449C1" w:rsidRPr="00D50450" w:rsidRDefault="004449C1" w:rsidP="004449C1">
            <w:pPr>
              <w:pStyle w:val="HTMLPreformatted"/>
              <w:shd w:val="clear" w:color="auto" w:fill="FFFFFF"/>
              <w:jc w:val="center"/>
              <w:rPr>
                <w:rFonts w:ascii="Calibri Light" w:eastAsiaTheme="minorHAnsi" w:hAnsi="Calibri Light" w:cs="Calibri Light"/>
                <w:b/>
                <w:i/>
                <w:color w:val="000000" w:themeColor="text1"/>
                <w:sz w:val="22"/>
                <w:szCs w:val="22"/>
                <w:lang w:val="ro-RO"/>
              </w:rPr>
            </w:pPr>
            <w:r w:rsidRPr="00D50450">
              <w:rPr>
                <w:rFonts w:ascii="Calibri Light" w:eastAsiaTheme="minorHAnsi" w:hAnsi="Calibri Light" w:cs="Calibri Light"/>
                <w:b/>
                <w:i/>
                <w:color w:val="000000" w:themeColor="text1"/>
                <w:sz w:val="22"/>
                <w:szCs w:val="22"/>
                <w:lang w:val="ro-RO"/>
              </w:rPr>
              <w:t>IX.</w:t>
            </w:r>
          </w:p>
          <w:p w:rsidR="004449C1" w:rsidRPr="00D50450" w:rsidRDefault="004449C1" w:rsidP="004449C1">
            <w:pPr>
              <w:pStyle w:val="HTMLPreformatted"/>
              <w:shd w:val="clear" w:color="auto" w:fill="FFFFFF"/>
              <w:jc w:val="center"/>
              <w:rPr>
                <w:rFonts w:ascii="Calibri Light" w:eastAsiaTheme="minorHAnsi" w:hAnsi="Calibri Light" w:cs="Calibri Light"/>
                <w:b/>
                <w:i/>
                <w:color w:val="000000" w:themeColor="text1"/>
                <w:sz w:val="22"/>
                <w:szCs w:val="22"/>
                <w:lang w:val="ro-RO"/>
              </w:rPr>
            </w:pPr>
            <w:r w:rsidRPr="00D50450">
              <w:rPr>
                <w:rFonts w:ascii="Calibri Light" w:eastAsiaTheme="minorHAnsi" w:hAnsi="Calibri Light" w:cs="Calibri Light"/>
                <w:b/>
                <w:i/>
                <w:color w:val="000000" w:themeColor="text1"/>
                <w:sz w:val="22"/>
                <w:szCs w:val="22"/>
                <w:lang w:val="ro-RO"/>
              </w:rPr>
              <w:t>Concluzii din cercetarea bazată pe sondaj</w:t>
            </w:r>
            <w:r>
              <w:rPr>
                <w:rFonts w:ascii="Calibri Light" w:eastAsiaTheme="minorHAnsi" w:hAnsi="Calibri Light" w:cs="Calibri Light"/>
                <w:b/>
                <w:i/>
                <w:color w:val="000000" w:themeColor="text1"/>
                <w:sz w:val="22"/>
                <w:szCs w:val="22"/>
                <w:lang w:val="ro-RO"/>
              </w:rPr>
              <w:t>e</w:t>
            </w:r>
          </w:p>
          <w:p w:rsidR="004449C1" w:rsidRPr="00D50450" w:rsidRDefault="004449C1" w:rsidP="004449C1">
            <w:pPr>
              <w:pStyle w:val="HTMLPreformatted"/>
              <w:shd w:val="clear" w:color="auto" w:fill="FFFFFF"/>
              <w:jc w:val="both"/>
              <w:rPr>
                <w:rFonts w:ascii="Calibri Light" w:eastAsiaTheme="minorHAnsi" w:hAnsi="Calibri Light" w:cs="Calibri Light"/>
                <w:color w:val="000000" w:themeColor="text1"/>
                <w:sz w:val="22"/>
                <w:szCs w:val="22"/>
                <w:lang w:val="ro-RO"/>
              </w:rPr>
            </w:pP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Proiectul a inclus o serie de anchete constând în examinarea situației </w:t>
            </w:r>
            <w:r>
              <w:rPr>
                <w:rFonts w:ascii="Calibri Light" w:eastAsiaTheme="minorHAnsi" w:hAnsi="Calibri Light" w:cs="Calibri Light"/>
                <w:color w:val="000000" w:themeColor="text1"/>
                <w:sz w:val="22"/>
                <w:szCs w:val="22"/>
                <w:lang w:val="ro-RO"/>
              </w:rPr>
              <w:t>angajaţilor</w:t>
            </w:r>
            <w:r w:rsidRPr="00D50450">
              <w:rPr>
                <w:rFonts w:ascii="Calibri Light" w:eastAsiaTheme="minorHAnsi" w:hAnsi="Calibri Light" w:cs="Calibri Light"/>
                <w:color w:val="000000" w:themeColor="text1"/>
                <w:sz w:val="22"/>
                <w:szCs w:val="22"/>
                <w:lang w:val="ro-RO"/>
              </w:rPr>
              <w:t xml:space="preserve"> detașați, precum și observațiile companiilor care detașează lucrători, pentru a identifica problemele și pentru a se familiariza cu </w:t>
            </w:r>
            <w:r>
              <w:rPr>
                <w:rFonts w:ascii="Calibri Light" w:eastAsiaTheme="minorHAnsi" w:hAnsi="Calibri Light" w:cs="Calibri Light"/>
                <w:color w:val="000000" w:themeColor="text1"/>
                <w:sz w:val="22"/>
                <w:szCs w:val="22"/>
                <w:lang w:val="ro-RO"/>
              </w:rPr>
              <w:t>comentariilr</w:t>
            </w:r>
            <w:r w:rsidRPr="00D50450">
              <w:rPr>
                <w:rFonts w:ascii="Calibri Light" w:eastAsiaTheme="minorHAnsi" w:hAnsi="Calibri Light" w:cs="Calibri Light"/>
                <w:color w:val="000000" w:themeColor="text1"/>
                <w:sz w:val="22"/>
                <w:szCs w:val="22"/>
                <w:lang w:val="ro-RO"/>
              </w:rPr>
              <w:t xml:space="preserve"> și observațiile detaliate. Această metodă va afecta în mod pozitiv evaluarea soluțiilor juridice și practice în domeniul detașării </w:t>
            </w:r>
            <w:r>
              <w:rPr>
                <w:rFonts w:ascii="Calibri Light" w:eastAsiaTheme="minorHAnsi" w:hAnsi="Calibri Light" w:cs="Calibri Light"/>
                <w:color w:val="000000" w:themeColor="text1"/>
                <w:sz w:val="22"/>
                <w:szCs w:val="22"/>
                <w:lang w:val="ro-RO"/>
              </w:rPr>
              <w:t>angajaţilor</w:t>
            </w:r>
            <w:r w:rsidRPr="00D50450">
              <w:rPr>
                <w:rFonts w:ascii="Calibri Light" w:eastAsiaTheme="minorHAnsi" w:hAnsi="Calibri Light" w:cs="Calibri Light"/>
                <w:color w:val="000000" w:themeColor="text1"/>
                <w:sz w:val="22"/>
                <w:szCs w:val="22"/>
                <w:lang w:val="ro-RO"/>
              </w:rPr>
              <w:t xml:space="preserve"> într-o anumită industrie. Anchetele arată, de asemenea, cele mai frecvente probleme cu care se confruntă persoanele care acționează în calitate de </w:t>
            </w:r>
            <w:r>
              <w:rPr>
                <w:rFonts w:ascii="Calibri Light" w:eastAsiaTheme="minorHAnsi" w:hAnsi="Calibri Light" w:cs="Calibri Light"/>
                <w:color w:val="000000" w:themeColor="text1"/>
                <w:sz w:val="22"/>
                <w:szCs w:val="22"/>
                <w:lang w:val="ro-RO"/>
              </w:rPr>
              <w:t>angajaţi</w:t>
            </w:r>
            <w:r w:rsidRPr="00D50450">
              <w:rPr>
                <w:rFonts w:ascii="Calibri Light" w:eastAsiaTheme="minorHAnsi" w:hAnsi="Calibri Light" w:cs="Calibri Light"/>
                <w:color w:val="000000" w:themeColor="text1"/>
                <w:sz w:val="22"/>
                <w:szCs w:val="22"/>
                <w:lang w:val="ro-RO"/>
              </w:rPr>
              <w:t xml:space="preserve"> detașați.</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Selectarea participanților la cercetare s</w:t>
            </w:r>
            <w:r>
              <w:rPr>
                <w:rFonts w:ascii="Calibri Light" w:eastAsiaTheme="minorHAnsi" w:hAnsi="Calibri Light" w:cs="Calibri Light"/>
                <w:color w:val="000000" w:themeColor="text1"/>
                <w:sz w:val="22"/>
                <w:szCs w:val="22"/>
                <w:lang w:val="ro-RO"/>
              </w:rPr>
              <w:t>-</w:t>
            </w:r>
            <w:r w:rsidRPr="00D50450">
              <w:rPr>
                <w:rFonts w:ascii="Calibri Light" w:eastAsiaTheme="minorHAnsi" w:hAnsi="Calibri Light" w:cs="Calibri Light"/>
                <w:color w:val="000000" w:themeColor="text1"/>
                <w:sz w:val="22"/>
                <w:szCs w:val="22"/>
                <w:lang w:val="ro-RO"/>
              </w:rPr>
              <w:t xml:space="preserve">a bazat pe o experiență diversă în ceea ce privește calitatea de </w:t>
            </w:r>
            <w:r>
              <w:rPr>
                <w:rFonts w:ascii="Calibri Light" w:eastAsiaTheme="minorHAnsi" w:hAnsi="Calibri Light" w:cs="Calibri Light"/>
                <w:color w:val="000000" w:themeColor="text1"/>
                <w:sz w:val="22"/>
                <w:szCs w:val="22"/>
                <w:lang w:val="ro-RO"/>
              </w:rPr>
              <w:t>angajat detaşat</w:t>
            </w:r>
            <w:r w:rsidRPr="00D50450">
              <w:rPr>
                <w:rFonts w:ascii="Calibri Light" w:eastAsiaTheme="minorHAnsi" w:hAnsi="Calibri Light" w:cs="Calibri Light"/>
                <w:color w:val="000000" w:themeColor="text1"/>
                <w:sz w:val="22"/>
                <w:szCs w:val="22"/>
                <w:lang w:val="ro-RO"/>
              </w:rPr>
              <w:t xml:space="preserve"> în străinătate, asociată cu munca în țări cu diverse structuri economice, de producție și instituționale.</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Cercetările au arătat că nivelul cunoștințelor privind directivele </w:t>
            </w:r>
            <w:r>
              <w:rPr>
                <w:rFonts w:ascii="Calibri Light" w:eastAsiaTheme="minorHAnsi" w:hAnsi="Calibri Light" w:cs="Calibri Light"/>
                <w:color w:val="000000" w:themeColor="text1"/>
                <w:sz w:val="22"/>
                <w:szCs w:val="22"/>
                <w:lang w:val="ro-RO"/>
              </w:rPr>
              <w:t>referitoare la procesul de detașare</w:t>
            </w:r>
            <w:r w:rsidRPr="00D50450">
              <w:rPr>
                <w:rFonts w:ascii="Calibri Light" w:eastAsiaTheme="minorHAnsi" w:hAnsi="Calibri Light" w:cs="Calibri Light"/>
                <w:color w:val="000000" w:themeColor="text1"/>
                <w:sz w:val="22"/>
                <w:szCs w:val="22"/>
                <w:lang w:val="ro-RO"/>
              </w:rPr>
              <w:t xml:space="preserve"> și cunoștințele generale privind principiile juridice asociate detașării nu este satisfăcător. Majoritatea participanților la studiu nu au știut prea multe sau chiar nimic despre ele. Încă o dată se dovedește că legea europeană nu este ușor de înțeles pentru o persoană obișnuită. Directivele UE în domeniul de aplicare menționat sunt, fără îndoială, extrem de complicate și nu foarte accesibile. O altă problemă sunt sursele de informații care oferă cunoștințe despre soluțiile juridice ale unei țări date în ceea ce privește dreptul muncii, inclusiv drepturile </w:t>
            </w:r>
            <w:r>
              <w:rPr>
                <w:rFonts w:ascii="Calibri Light" w:eastAsiaTheme="minorHAnsi" w:hAnsi="Calibri Light" w:cs="Calibri Light"/>
                <w:color w:val="000000" w:themeColor="text1"/>
                <w:sz w:val="22"/>
                <w:szCs w:val="22"/>
                <w:lang w:val="ro-RO"/>
              </w:rPr>
              <w:t>angajaţilor</w:t>
            </w:r>
            <w:r w:rsidRPr="00D50450">
              <w:rPr>
                <w:rFonts w:ascii="Calibri Light" w:eastAsiaTheme="minorHAnsi" w:hAnsi="Calibri Light" w:cs="Calibri Light"/>
                <w:color w:val="000000" w:themeColor="text1"/>
                <w:sz w:val="22"/>
                <w:szCs w:val="22"/>
                <w:lang w:val="ro-RO"/>
              </w:rPr>
              <w:t xml:space="preserve"> detașați. Prin urmare, pe lângă site-ul oficial al fiecărui stat membru al UE, merită să se creeze și alte site-uri care să fie ușor accesibile pentru părțile interesate, care să conțină mai multe informații practice, create în conformitate cu cerințele </w:t>
            </w:r>
            <w:r>
              <w:rPr>
                <w:rFonts w:ascii="Calibri Light" w:eastAsiaTheme="minorHAnsi" w:hAnsi="Calibri Light" w:cs="Calibri Light"/>
                <w:color w:val="000000" w:themeColor="text1"/>
                <w:sz w:val="22"/>
                <w:szCs w:val="22"/>
                <w:lang w:val="ro-RO"/>
              </w:rPr>
              <w:t>angajaţilor</w:t>
            </w:r>
            <w:r w:rsidRPr="00D50450">
              <w:rPr>
                <w:rFonts w:ascii="Calibri Light" w:eastAsiaTheme="minorHAnsi" w:hAnsi="Calibri Light" w:cs="Calibri Light"/>
                <w:color w:val="000000" w:themeColor="text1"/>
                <w:sz w:val="22"/>
                <w:szCs w:val="22"/>
                <w:lang w:val="ro-RO"/>
              </w:rPr>
              <w:t xml:space="preserve"> și în ceea ce privește munca în </w:t>
            </w:r>
            <w:r>
              <w:rPr>
                <w:rFonts w:ascii="Calibri Light" w:eastAsiaTheme="minorHAnsi" w:hAnsi="Calibri Light" w:cs="Calibri Light"/>
                <w:color w:val="000000" w:themeColor="text1"/>
                <w:sz w:val="22"/>
                <w:szCs w:val="22"/>
                <w:lang w:val="ro-RO"/>
              </w:rPr>
              <w:t xml:space="preserve">anumite </w:t>
            </w:r>
            <w:r w:rsidRPr="00D50450">
              <w:rPr>
                <w:rFonts w:ascii="Calibri Light" w:eastAsiaTheme="minorHAnsi" w:hAnsi="Calibri Light" w:cs="Calibri Light"/>
                <w:color w:val="000000" w:themeColor="text1"/>
                <w:sz w:val="22"/>
                <w:szCs w:val="22"/>
                <w:lang w:val="ro-RO"/>
              </w:rPr>
              <w:t>domenii sau ramuri ale industriei.</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Ceea ce este distinctiv este faptul că participanții la sondaj au subliniat sindicatele ca o sursă importantă de cunoștințe despre regulile legale asociate cu detașarea </w:t>
            </w:r>
            <w:r>
              <w:rPr>
                <w:rFonts w:ascii="Calibri Light" w:eastAsiaTheme="minorHAnsi" w:hAnsi="Calibri Light" w:cs="Calibri Light"/>
                <w:color w:val="000000" w:themeColor="text1"/>
                <w:sz w:val="22"/>
                <w:szCs w:val="22"/>
                <w:lang w:val="ro-RO"/>
              </w:rPr>
              <w:t xml:space="preserve">angajaţilor </w:t>
            </w:r>
            <w:r w:rsidRPr="00D50450">
              <w:rPr>
                <w:rFonts w:ascii="Calibri Light" w:eastAsiaTheme="minorHAnsi" w:hAnsi="Calibri Light" w:cs="Calibri Light"/>
                <w:color w:val="000000" w:themeColor="text1"/>
                <w:sz w:val="22"/>
                <w:szCs w:val="22"/>
                <w:lang w:val="ro-RO"/>
              </w:rPr>
              <w:t xml:space="preserve"> și verificarea condițiilor de angajare și, în continuare, alți </w:t>
            </w:r>
            <w:r>
              <w:rPr>
                <w:rFonts w:ascii="Calibri Light" w:eastAsiaTheme="minorHAnsi" w:hAnsi="Calibri Light" w:cs="Calibri Light"/>
                <w:color w:val="000000" w:themeColor="text1"/>
                <w:sz w:val="22"/>
                <w:szCs w:val="22"/>
                <w:lang w:val="ro-RO"/>
              </w:rPr>
              <w:t>angajaţi</w:t>
            </w:r>
            <w:r w:rsidRPr="00D50450">
              <w:rPr>
                <w:rFonts w:ascii="Calibri Light" w:eastAsiaTheme="minorHAnsi" w:hAnsi="Calibri Light" w:cs="Calibri Light"/>
                <w:color w:val="000000" w:themeColor="text1"/>
                <w:sz w:val="22"/>
                <w:szCs w:val="22"/>
                <w:lang w:val="ro-RO"/>
              </w:rPr>
              <w:t xml:space="preserve"> detașați, precum și mass-media ( Internet, presă). Participanții la sondaj au </w:t>
            </w:r>
            <w:r>
              <w:rPr>
                <w:rFonts w:ascii="Calibri Light" w:eastAsiaTheme="minorHAnsi" w:hAnsi="Calibri Light" w:cs="Calibri Light"/>
                <w:color w:val="000000" w:themeColor="text1"/>
                <w:sz w:val="22"/>
                <w:szCs w:val="22"/>
                <w:lang w:val="ro-RO"/>
              </w:rPr>
              <w:t>stabilit că</w:t>
            </w:r>
            <w:r w:rsidRPr="00D50450">
              <w:rPr>
                <w:rFonts w:ascii="Calibri Light" w:eastAsiaTheme="minorHAnsi" w:hAnsi="Calibri Light" w:cs="Calibri Light"/>
                <w:color w:val="000000" w:themeColor="text1"/>
                <w:sz w:val="22"/>
                <w:szCs w:val="22"/>
                <w:lang w:val="ro-RO"/>
              </w:rPr>
              <w:t xml:space="preserve"> informațiile obținute prin particip</w:t>
            </w:r>
            <w:r>
              <w:rPr>
                <w:rFonts w:ascii="Calibri Light" w:eastAsiaTheme="minorHAnsi" w:hAnsi="Calibri Light" w:cs="Calibri Light"/>
                <w:color w:val="000000" w:themeColor="text1"/>
                <w:sz w:val="22"/>
                <w:szCs w:val="22"/>
                <w:lang w:val="ro-RO"/>
              </w:rPr>
              <w:t>area la proiecte internaționale sunt</w:t>
            </w:r>
            <w:r w:rsidRPr="00D50450">
              <w:rPr>
                <w:rFonts w:ascii="Calibri Light" w:eastAsiaTheme="minorHAnsi" w:hAnsi="Calibri Light" w:cs="Calibri Light"/>
                <w:color w:val="000000" w:themeColor="text1"/>
                <w:sz w:val="22"/>
                <w:szCs w:val="22"/>
                <w:lang w:val="ro-RO"/>
              </w:rPr>
              <w:t xml:space="preserve"> menite să facă mai cunoscută problema detașării </w:t>
            </w:r>
            <w:r>
              <w:rPr>
                <w:rFonts w:ascii="Calibri Light" w:eastAsiaTheme="minorHAnsi" w:hAnsi="Calibri Light" w:cs="Calibri Light"/>
                <w:color w:val="000000" w:themeColor="text1"/>
                <w:sz w:val="22"/>
                <w:szCs w:val="22"/>
                <w:lang w:val="ro-RO"/>
              </w:rPr>
              <w:t>angajaţilor</w:t>
            </w:r>
            <w:r w:rsidRPr="00D50450">
              <w:rPr>
                <w:rFonts w:ascii="Calibri Light" w:eastAsiaTheme="minorHAnsi" w:hAnsi="Calibri Light" w:cs="Calibri Light"/>
                <w:color w:val="000000" w:themeColor="text1"/>
                <w:sz w:val="22"/>
                <w:szCs w:val="22"/>
                <w:lang w:val="ro-RO"/>
              </w:rPr>
              <w:t>.</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În ceea ce privește chestiunea </w:t>
            </w:r>
            <w:r>
              <w:rPr>
                <w:rFonts w:ascii="Calibri Light" w:eastAsiaTheme="minorHAnsi" w:hAnsi="Calibri Light" w:cs="Calibri Light"/>
                <w:color w:val="000000" w:themeColor="text1"/>
                <w:sz w:val="22"/>
                <w:szCs w:val="22"/>
                <w:lang w:val="ro-RO"/>
              </w:rPr>
              <w:t>referitoare la</w:t>
            </w:r>
            <w:r w:rsidRPr="00D50450">
              <w:rPr>
                <w:rFonts w:ascii="Calibri Light" w:eastAsiaTheme="minorHAnsi" w:hAnsi="Calibri Light" w:cs="Calibri Light"/>
                <w:color w:val="000000" w:themeColor="text1"/>
                <w:sz w:val="22"/>
                <w:szCs w:val="22"/>
                <w:lang w:val="ro-RO"/>
              </w:rPr>
              <w:t xml:space="preserve"> evaluarea protecției </w:t>
            </w:r>
            <w:r>
              <w:rPr>
                <w:rFonts w:ascii="Calibri Light" w:eastAsiaTheme="minorHAnsi" w:hAnsi="Calibri Light" w:cs="Calibri Light"/>
                <w:color w:val="000000" w:themeColor="text1"/>
                <w:sz w:val="22"/>
                <w:szCs w:val="22"/>
                <w:lang w:val="ro-RO"/>
              </w:rPr>
              <w:t>persoanelor</w:t>
            </w:r>
            <w:r w:rsidRPr="00D50450">
              <w:rPr>
                <w:rFonts w:ascii="Calibri Light" w:eastAsiaTheme="minorHAnsi" w:hAnsi="Calibri Light" w:cs="Calibri Light"/>
                <w:color w:val="000000" w:themeColor="text1"/>
                <w:sz w:val="22"/>
                <w:szCs w:val="22"/>
                <w:lang w:val="ro-RO"/>
              </w:rPr>
              <w:t xml:space="preserve"> detașa</w:t>
            </w:r>
            <w:r>
              <w:rPr>
                <w:rFonts w:ascii="Calibri Light" w:eastAsiaTheme="minorHAnsi" w:hAnsi="Calibri Light" w:cs="Calibri Light"/>
                <w:color w:val="000000" w:themeColor="text1"/>
                <w:sz w:val="22"/>
                <w:szCs w:val="22"/>
                <w:lang w:val="ro-RO"/>
              </w:rPr>
              <w:t>te</w:t>
            </w:r>
            <w:r w:rsidRPr="00D50450">
              <w:rPr>
                <w:rFonts w:ascii="Calibri Light" w:eastAsiaTheme="minorHAnsi" w:hAnsi="Calibri Light" w:cs="Calibri Light"/>
                <w:color w:val="000000" w:themeColor="text1"/>
                <w:sz w:val="22"/>
                <w:szCs w:val="22"/>
                <w:lang w:val="ro-RO"/>
              </w:rPr>
              <w:t xml:space="preserve"> la un loc de muncă unde angajații sondajului sunt angajați - protecția a fost evaluată ca fiind bună sau medie. Doar un procent mic de intervievați a declarat că protecția este insuficientă.</w:t>
            </w:r>
          </w:p>
          <w:p w:rsidR="004449C1" w:rsidRPr="00D50450" w:rsidRDefault="004449C1" w:rsidP="004449C1">
            <w:pPr>
              <w:pStyle w:val="HTMLPreformatted"/>
              <w:shd w:val="clear" w:color="auto" w:fill="FFFFFF"/>
              <w:ind w:firstLine="522"/>
              <w:jc w:val="both"/>
              <w:rPr>
                <w:rFonts w:ascii="Calibri Light" w:eastAsiaTheme="minorHAnsi" w:hAnsi="Calibri Light" w:cs="Calibri Light"/>
                <w:color w:val="000000" w:themeColor="text1"/>
                <w:sz w:val="22"/>
                <w:szCs w:val="22"/>
                <w:lang w:val="ro-RO"/>
              </w:rPr>
            </w:pPr>
          </w:p>
          <w:p w:rsidR="004449C1" w:rsidRPr="00D50450" w:rsidRDefault="004449C1" w:rsidP="004449C1">
            <w:pPr>
              <w:pStyle w:val="HTMLPreformatted"/>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Problemele cele mai frecvente identificate </w:t>
            </w:r>
            <w:r>
              <w:rPr>
                <w:rFonts w:ascii="Calibri Light" w:eastAsiaTheme="minorHAnsi" w:hAnsi="Calibri Light" w:cs="Calibri Light"/>
                <w:color w:val="000000" w:themeColor="text1"/>
                <w:sz w:val="22"/>
                <w:szCs w:val="22"/>
                <w:lang w:val="ro-RO"/>
              </w:rPr>
              <w:t xml:space="preserve">în legătură </w:t>
            </w:r>
            <w:r w:rsidRPr="00D50450">
              <w:rPr>
                <w:rFonts w:ascii="Calibri Light" w:eastAsiaTheme="minorHAnsi" w:hAnsi="Calibri Light" w:cs="Calibri Light"/>
                <w:color w:val="000000" w:themeColor="text1"/>
                <w:sz w:val="22"/>
                <w:szCs w:val="22"/>
                <w:lang w:val="ro-RO"/>
              </w:rPr>
              <w:t xml:space="preserve">cu detașarea </w:t>
            </w:r>
            <w:r>
              <w:rPr>
                <w:rFonts w:ascii="Calibri Light" w:eastAsiaTheme="minorHAnsi" w:hAnsi="Calibri Light" w:cs="Calibri Light"/>
                <w:color w:val="000000" w:themeColor="text1"/>
                <w:sz w:val="22"/>
                <w:szCs w:val="22"/>
                <w:lang w:val="ro-RO"/>
              </w:rPr>
              <w:t>persoanelor</w:t>
            </w:r>
            <w:r w:rsidRPr="00D50450">
              <w:rPr>
                <w:rFonts w:ascii="Calibri Light" w:eastAsiaTheme="minorHAnsi" w:hAnsi="Calibri Light" w:cs="Calibri Light"/>
                <w:color w:val="000000" w:themeColor="text1"/>
                <w:sz w:val="22"/>
                <w:szCs w:val="22"/>
                <w:lang w:val="ro-RO"/>
              </w:rPr>
              <w:t xml:space="preserve"> au fost:</w:t>
            </w:r>
          </w:p>
          <w:p w:rsidR="004449C1" w:rsidRPr="00D50450" w:rsidRDefault="004449C1" w:rsidP="004449C1">
            <w:pPr>
              <w:pStyle w:val="HTMLPreformatted"/>
              <w:numPr>
                <w:ilvl w:val="0"/>
                <w:numId w:val="32"/>
              </w:numPr>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discriminarea în ceea ce privește remunerarea și prestațiile sociale - intervievații au indicat, de regulă, plata unei remunerații sub minim</w:t>
            </w:r>
            <w:r>
              <w:rPr>
                <w:rFonts w:ascii="Calibri Light" w:eastAsiaTheme="minorHAnsi" w:hAnsi="Calibri Light" w:cs="Calibri Light"/>
                <w:color w:val="000000" w:themeColor="text1"/>
                <w:sz w:val="22"/>
                <w:szCs w:val="22"/>
                <w:lang w:val="ro-RO"/>
              </w:rPr>
              <w:t>ul di</w:t>
            </w:r>
            <w:r w:rsidRPr="00D50450">
              <w:rPr>
                <w:rFonts w:ascii="Calibri Light" w:eastAsiaTheme="minorHAnsi" w:hAnsi="Calibri Light" w:cs="Calibri Light"/>
                <w:color w:val="000000" w:themeColor="text1"/>
                <w:sz w:val="22"/>
                <w:szCs w:val="22"/>
                <w:lang w:val="ro-RO"/>
              </w:rPr>
              <w:t>ntr-o anumită țară, precum și alte elemente ale salariului,</w:t>
            </w:r>
          </w:p>
          <w:p w:rsidR="004449C1" w:rsidRPr="00D50450" w:rsidRDefault="004449C1" w:rsidP="004449C1">
            <w:pPr>
              <w:pStyle w:val="HTMLPreformatted"/>
              <w:numPr>
                <w:ilvl w:val="0"/>
                <w:numId w:val="32"/>
              </w:numPr>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nerespectarea reglementărilor legii muncii dintr-o țară în care se desfășoară o activitate - în acest sens, se aplică observații, de ex. la nerespectarea concediilor anuale, precum și a perioadelor zilnice și săptămân</w:t>
            </w:r>
            <w:r>
              <w:rPr>
                <w:rFonts w:ascii="Calibri Light" w:eastAsiaTheme="minorHAnsi" w:hAnsi="Calibri Light" w:cs="Calibri Light"/>
                <w:color w:val="000000" w:themeColor="text1"/>
                <w:sz w:val="22"/>
                <w:szCs w:val="22"/>
                <w:lang w:val="ro-RO"/>
              </w:rPr>
              <w:t>ale de odihnă neîntreruptă a unei persoane</w:t>
            </w:r>
            <w:r w:rsidRPr="00D50450">
              <w:rPr>
                <w:rFonts w:ascii="Calibri Light" w:eastAsiaTheme="minorHAnsi" w:hAnsi="Calibri Light" w:cs="Calibri Light"/>
                <w:color w:val="000000" w:themeColor="text1"/>
                <w:sz w:val="22"/>
                <w:szCs w:val="22"/>
                <w:lang w:val="ro-RO"/>
              </w:rPr>
              <w:t xml:space="preserve">. Participanții la sondaj au menționat, de asemenea, încălcarea </w:t>
            </w:r>
            <w:r>
              <w:rPr>
                <w:rFonts w:ascii="Calibri Light" w:eastAsiaTheme="minorHAnsi" w:hAnsi="Calibri Light" w:cs="Calibri Light"/>
                <w:color w:val="000000" w:themeColor="text1"/>
                <w:sz w:val="22"/>
                <w:szCs w:val="22"/>
                <w:lang w:val="ro-RO"/>
              </w:rPr>
              <w:t>orarului</w:t>
            </w:r>
            <w:r w:rsidRPr="00D50450">
              <w:rPr>
                <w:rFonts w:ascii="Calibri Light" w:eastAsiaTheme="minorHAnsi" w:hAnsi="Calibri Light" w:cs="Calibri Light"/>
                <w:color w:val="000000" w:themeColor="text1"/>
                <w:sz w:val="22"/>
                <w:szCs w:val="22"/>
                <w:lang w:val="ro-RO"/>
              </w:rPr>
              <w:t xml:space="preserve"> de lucru, în special în ceea ce privește depășirea limitelor de ore suplimentare,</w:t>
            </w:r>
          </w:p>
          <w:p w:rsidR="004449C1" w:rsidRPr="00D50450" w:rsidRDefault="004449C1" w:rsidP="004449C1">
            <w:pPr>
              <w:pStyle w:val="HTMLPreformatted"/>
              <w:numPr>
                <w:ilvl w:val="0"/>
                <w:numId w:val="32"/>
              </w:numPr>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neîndeplinirea cerințelor privind sănătatea și siguranța la locul de muncă, precum și echipamentul adecvat la posturile de lucru,</w:t>
            </w:r>
          </w:p>
          <w:p w:rsidR="004449C1" w:rsidRPr="00D50450" w:rsidRDefault="004449C1" w:rsidP="004449C1">
            <w:pPr>
              <w:pStyle w:val="HTMLPreformatted"/>
              <w:numPr>
                <w:ilvl w:val="0"/>
                <w:numId w:val="32"/>
              </w:numPr>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încheierea de contracte pentru îndeplinirea sarcinilor mai puțin plătite, în timp ce, de fapt, muncitorul îndeplinește o activitate de valoare mai mare, care ar trebui să fie efectuată contra unei remunerații mai mari,</w:t>
            </w:r>
          </w:p>
          <w:p w:rsidR="004449C1" w:rsidRPr="00D50450" w:rsidRDefault="004449C1" w:rsidP="004449C1">
            <w:pPr>
              <w:pStyle w:val="HTMLPreformatted"/>
              <w:numPr>
                <w:ilvl w:val="0"/>
                <w:numId w:val="32"/>
              </w:numPr>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costurile legate de detașare (tarif, cazare) care, de obicei, au fost deduse de angajatori din remunerația lucrătorilor,</w:t>
            </w:r>
          </w:p>
          <w:p w:rsidR="004449C1" w:rsidRPr="00D50450" w:rsidRDefault="004449C1" w:rsidP="004449C1">
            <w:pPr>
              <w:pStyle w:val="HTMLPreformatted"/>
              <w:numPr>
                <w:ilvl w:val="0"/>
                <w:numId w:val="32"/>
              </w:numPr>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lipsa de informații în regulile de angajare și drepturile în țara de muncă,</w:t>
            </w:r>
          </w:p>
          <w:p w:rsidR="004449C1" w:rsidRPr="00D50450" w:rsidRDefault="004449C1" w:rsidP="004449C1">
            <w:pPr>
              <w:pStyle w:val="HTMLPreformatted"/>
              <w:numPr>
                <w:ilvl w:val="0"/>
                <w:numId w:val="32"/>
              </w:numPr>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lipsa de informații privind inspectoratele de muncă într-o anumită țară, adresele și numerele lor de telefon,</w:t>
            </w:r>
          </w:p>
          <w:p w:rsidR="004449C1" w:rsidRPr="00D50450" w:rsidRDefault="004449C1" w:rsidP="004449C1">
            <w:pPr>
              <w:pStyle w:val="HTMLPreformatted"/>
              <w:numPr>
                <w:ilvl w:val="0"/>
                <w:numId w:val="32"/>
              </w:numPr>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lastRenderedPageBreak/>
              <w:t xml:space="preserve">probleme de limbă, bariere în comunicare - din păcate, lipsa competențelor lingvistice (în special limba engleză) este încă o problemă gravă. Un </w:t>
            </w:r>
            <w:r>
              <w:rPr>
                <w:rFonts w:ascii="Calibri Light" w:eastAsiaTheme="minorHAnsi" w:hAnsi="Calibri Light" w:cs="Calibri Light"/>
                <w:color w:val="000000" w:themeColor="text1"/>
                <w:sz w:val="22"/>
                <w:szCs w:val="22"/>
                <w:lang w:val="ro-RO"/>
              </w:rPr>
              <w:t>angajat</w:t>
            </w:r>
            <w:r w:rsidRPr="00D50450">
              <w:rPr>
                <w:rFonts w:ascii="Calibri Light" w:eastAsiaTheme="minorHAnsi" w:hAnsi="Calibri Light" w:cs="Calibri Light"/>
                <w:color w:val="000000" w:themeColor="text1"/>
                <w:sz w:val="22"/>
                <w:szCs w:val="22"/>
                <w:lang w:val="ro-RO"/>
              </w:rPr>
              <w:t>, chiar și în cazul identificării încălcării legislației muncii de către angajator, are o sarcină foarte dificilă de a obține ajutor din partea organismelor competente.</w:t>
            </w:r>
          </w:p>
          <w:p w:rsidR="004449C1" w:rsidRPr="00D50450" w:rsidRDefault="004449C1" w:rsidP="004449C1">
            <w:pPr>
              <w:pStyle w:val="HTMLPreformatted"/>
              <w:numPr>
                <w:ilvl w:val="0"/>
                <w:numId w:val="32"/>
              </w:numPr>
              <w:jc w:val="both"/>
              <w:rPr>
                <w:rFonts w:ascii="Calibri Light" w:eastAsiaTheme="minorHAnsi" w:hAnsi="Calibri Light" w:cs="Calibri Light"/>
                <w:color w:val="000000" w:themeColor="text1"/>
                <w:sz w:val="22"/>
                <w:szCs w:val="22"/>
                <w:lang w:val="ro-RO"/>
              </w:rPr>
            </w:pPr>
            <w:r>
              <w:rPr>
                <w:rFonts w:ascii="Calibri Light" w:eastAsiaTheme="minorHAnsi" w:hAnsi="Calibri Light" w:cs="Calibri Light"/>
                <w:color w:val="000000" w:themeColor="text1"/>
                <w:sz w:val="22"/>
                <w:szCs w:val="22"/>
                <w:lang w:val="ro-RO"/>
              </w:rPr>
              <w:t>lipsa ajutorului sau ajutorul</w:t>
            </w:r>
            <w:r w:rsidRPr="00D50450">
              <w:rPr>
                <w:rFonts w:ascii="Calibri Light" w:eastAsiaTheme="minorHAnsi" w:hAnsi="Calibri Light" w:cs="Calibri Light"/>
                <w:color w:val="000000" w:themeColor="text1"/>
                <w:sz w:val="22"/>
                <w:szCs w:val="22"/>
                <w:lang w:val="ro-RO"/>
              </w:rPr>
              <w:t xml:space="preserve"> nesatisfăcător din partea sindicatelor - este necesar să se ia în considerare introducerea unor acțiuni specifice ale sindicatelor, precum și să se consolideze încrederea în reprezent</w:t>
            </w:r>
            <w:r>
              <w:rPr>
                <w:rFonts w:ascii="Calibri Light" w:eastAsiaTheme="minorHAnsi" w:hAnsi="Calibri Light" w:cs="Calibri Light"/>
                <w:color w:val="000000" w:themeColor="text1"/>
                <w:sz w:val="22"/>
                <w:szCs w:val="22"/>
                <w:lang w:val="ro-RO"/>
              </w:rPr>
              <w:t>anţii</w:t>
            </w:r>
            <w:r w:rsidRPr="00D50450">
              <w:rPr>
                <w:rFonts w:ascii="Calibri Light" w:eastAsiaTheme="minorHAnsi" w:hAnsi="Calibri Light" w:cs="Calibri Light"/>
                <w:color w:val="000000" w:themeColor="text1"/>
                <w:sz w:val="22"/>
                <w:szCs w:val="22"/>
                <w:lang w:val="ro-RO"/>
              </w:rPr>
              <w:t xml:space="preserve"> salariaților,</w:t>
            </w:r>
          </w:p>
          <w:p w:rsidR="004449C1" w:rsidRPr="00D50450" w:rsidRDefault="004449C1" w:rsidP="004449C1">
            <w:pPr>
              <w:pStyle w:val="HTMLPreformatted"/>
              <w:numPr>
                <w:ilvl w:val="0"/>
                <w:numId w:val="32"/>
              </w:numPr>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lipsa de experiență în funcționarea </w:t>
            </w:r>
            <w:r>
              <w:rPr>
                <w:rFonts w:ascii="Calibri Light" w:eastAsiaTheme="minorHAnsi" w:hAnsi="Calibri Light" w:cs="Calibri Light"/>
                <w:color w:val="000000" w:themeColor="text1"/>
                <w:sz w:val="22"/>
                <w:szCs w:val="22"/>
                <w:lang w:val="ro-RO"/>
              </w:rPr>
              <w:t>ca persoană</w:t>
            </w:r>
            <w:r w:rsidRPr="00D50450">
              <w:rPr>
                <w:rFonts w:ascii="Calibri Light" w:eastAsiaTheme="minorHAnsi" w:hAnsi="Calibri Light" w:cs="Calibri Light"/>
                <w:color w:val="000000" w:themeColor="text1"/>
                <w:sz w:val="22"/>
                <w:szCs w:val="22"/>
                <w:lang w:val="ro-RO"/>
              </w:rPr>
              <w:t xml:space="preserve"> detașat</w:t>
            </w:r>
            <w:r>
              <w:rPr>
                <w:rFonts w:ascii="Calibri Light" w:eastAsiaTheme="minorHAnsi" w:hAnsi="Calibri Light" w:cs="Calibri Light"/>
                <w:color w:val="000000" w:themeColor="text1"/>
                <w:sz w:val="22"/>
                <w:szCs w:val="22"/>
                <w:lang w:val="ro-RO"/>
              </w:rPr>
              <w:t>ă</w:t>
            </w:r>
            <w:r w:rsidRPr="00D50450">
              <w:rPr>
                <w:rFonts w:ascii="Calibri Light" w:eastAsiaTheme="minorHAnsi" w:hAnsi="Calibri Light" w:cs="Calibri Light"/>
                <w:color w:val="000000" w:themeColor="text1"/>
                <w:sz w:val="22"/>
                <w:szCs w:val="22"/>
                <w:lang w:val="ro-RO"/>
              </w:rPr>
              <w:t>,</w:t>
            </w:r>
          </w:p>
          <w:p w:rsidR="004449C1" w:rsidRPr="00D50450" w:rsidRDefault="004449C1" w:rsidP="004449C1">
            <w:pPr>
              <w:pStyle w:val="HTMLPreformatted"/>
              <w:numPr>
                <w:ilvl w:val="0"/>
                <w:numId w:val="32"/>
              </w:numPr>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problema cu prețurile alimentelor și a altor articole la locul de muncă - atunci când se ține seama de remunerația minimă la locul desfășurării activității, este un factor negativ pentru un </w:t>
            </w:r>
            <w:r>
              <w:rPr>
                <w:rFonts w:ascii="Calibri Light" w:eastAsiaTheme="minorHAnsi" w:hAnsi="Calibri Light" w:cs="Calibri Light"/>
                <w:color w:val="000000" w:themeColor="text1"/>
                <w:sz w:val="22"/>
                <w:szCs w:val="22"/>
                <w:lang w:val="ro-RO"/>
              </w:rPr>
              <w:t>angajat</w:t>
            </w:r>
            <w:r w:rsidRPr="00D50450">
              <w:rPr>
                <w:rFonts w:ascii="Calibri Light" w:eastAsiaTheme="minorHAnsi" w:hAnsi="Calibri Light" w:cs="Calibri Light"/>
                <w:color w:val="000000" w:themeColor="text1"/>
                <w:sz w:val="22"/>
                <w:szCs w:val="22"/>
                <w:lang w:val="ro-RO"/>
              </w:rPr>
              <w:t xml:space="preserve"> detașat.</w:t>
            </w:r>
          </w:p>
          <w:p w:rsidR="004449C1" w:rsidRPr="00D50450" w:rsidRDefault="004449C1" w:rsidP="004449C1">
            <w:pPr>
              <w:pStyle w:val="HTMLPreformatted"/>
              <w:shd w:val="clear" w:color="auto" w:fill="FFFFFF"/>
              <w:jc w:val="both"/>
              <w:rPr>
                <w:rFonts w:ascii="Calibri Light" w:eastAsiaTheme="minorHAnsi" w:hAnsi="Calibri Light" w:cs="Calibri Light"/>
                <w:color w:val="000000" w:themeColor="text1"/>
                <w:sz w:val="22"/>
                <w:szCs w:val="22"/>
                <w:lang w:val="ro-RO"/>
              </w:rPr>
            </w:pPr>
          </w:p>
          <w:p w:rsidR="004449C1" w:rsidRPr="00D50450" w:rsidRDefault="004449C1"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Cel mai frecvent indicat factor motivator sau un stimulent pentru a pleca în străinătate au fost condiții financiare mai bune, ceea ce nu este o surpriză. Remunerațiile din Europa sunt foarte diverse, chiar și la nivelul remunerației minime, uneori atractivă pentru angajații din alte țări.</w:t>
            </w:r>
          </w:p>
          <w:p w:rsidR="004449C1" w:rsidRDefault="004449C1"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Pe de altă parte, reprezentanții companiilor au subliniat necesitatea creșterii clarității prevederilor directivelor, precum și a unor dispoziții complet inadecvate, care, în opinia lor, nu ar trebui să reglementeze anumite aspecte. Unii angajatori nu aveau cunoștințe suficiente cu privire la prevederile legii din cauza problemei d</w:t>
            </w:r>
            <w:r>
              <w:rPr>
                <w:rFonts w:ascii="Calibri Light" w:eastAsiaTheme="minorHAnsi" w:hAnsi="Calibri Light" w:cs="Calibri Light"/>
                <w:color w:val="000000" w:themeColor="text1"/>
                <w:sz w:val="22"/>
                <w:szCs w:val="22"/>
                <w:lang w:val="ro-RO"/>
              </w:rPr>
              <w:t>e a ajunge la o sursă adecvată.</w:t>
            </w:r>
          </w:p>
          <w:p w:rsidR="004449C1" w:rsidRPr="00D50450" w:rsidRDefault="004449C1" w:rsidP="004449C1">
            <w:pPr>
              <w:pStyle w:val="HTMLPreformatted"/>
              <w:shd w:val="clear" w:color="auto" w:fill="FFFFFF"/>
              <w:ind w:firstLine="612"/>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 xml:space="preserve">Sondajele au arătat, de asemenea, că unele companii, în special din Europa Centrală și de Est, se tem să introducă noi soluții care, în opinia lor, sunt prea stricte și oferă prea multă libertate de interpretare organismelor naționale care supraveghează activitatea </w:t>
            </w:r>
            <w:r>
              <w:rPr>
                <w:rFonts w:ascii="Calibri Light" w:eastAsiaTheme="minorHAnsi" w:hAnsi="Calibri Light" w:cs="Calibri Light"/>
                <w:color w:val="000000" w:themeColor="text1"/>
                <w:sz w:val="22"/>
                <w:szCs w:val="22"/>
                <w:lang w:val="ro-RO"/>
              </w:rPr>
              <w:t>în detaşare</w:t>
            </w:r>
            <w:r w:rsidRPr="00D50450">
              <w:rPr>
                <w:rFonts w:ascii="Calibri Light" w:eastAsiaTheme="minorHAnsi" w:hAnsi="Calibri Light" w:cs="Calibri Light"/>
                <w:color w:val="000000" w:themeColor="text1"/>
                <w:sz w:val="22"/>
                <w:szCs w:val="22"/>
                <w:lang w:val="ro-RO"/>
              </w:rPr>
              <w:t>.</w:t>
            </w:r>
          </w:p>
          <w:p w:rsidR="004449C1" w:rsidRPr="00D50450" w:rsidRDefault="004449C1" w:rsidP="004449C1">
            <w:pPr>
              <w:pStyle w:val="HTMLPreformatted"/>
              <w:shd w:val="clear" w:color="auto" w:fill="FFFFFF"/>
              <w:jc w:val="both"/>
              <w:rPr>
                <w:rFonts w:ascii="Calibri Light" w:eastAsiaTheme="minorHAnsi" w:hAnsi="Calibri Light" w:cs="Calibri Light"/>
                <w:color w:val="000000" w:themeColor="text1"/>
                <w:sz w:val="22"/>
                <w:szCs w:val="22"/>
                <w:lang w:val="ro-RO"/>
              </w:rPr>
            </w:pPr>
          </w:p>
          <w:p w:rsidR="004449C1" w:rsidRPr="00363626" w:rsidRDefault="004449C1" w:rsidP="004449C1">
            <w:pPr>
              <w:ind w:firstLine="360"/>
              <w:jc w:val="center"/>
              <w:rPr>
                <w:rFonts w:ascii="Calibri Light" w:hAnsi="Calibri Light" w:cs="Calibri Light"/>
                <w:b/>
                <w:i/>
                <w:color w:val="000000" w:themeColor="text1"/>
                <w:lang w:val="ro-RO"/>
              </w:rPr>
            </w:pPr>
            <w:r w:rsidRPr="00363626">
              <w:rPr>
                <w:rFonts w:ascii="Calibri Light" w:hAnsi="Calibri Light" w:cs="Calibri Light"/>
                <w:b/>
                <w:i/>
                <w:color w:val="000000" w:themeColor="text1"/>
                <w:lang w:val="ro-RO"/>
              </w:rPr>
              <w:t>X.</w:t>
            </w:r>
          </w:p>
          <w:p w:rsidR="004449C1" w:rsidRPr="00363626" w:rsidRDefault="005A19A4" w:rsidP="004449C1">
            <w:pPr>
              <w:ind w:firstLine="360"/>
              <w:jc w:val="center"/>
              <w:rPr>
                <w:rFonts w:ascii="Calibri Light" w:hAnsi="Calibri Light" w:cs="Calibri Light"/>
                <w:b/>
                <w:i/>
                <w:color w:val="000000" w:themeColor="text1"/>
                <w:lang w:val="ro-RO"/>
              </w:rPr>
            </w:pPr>
            <w:r w:rsidRPr="00363626">
              <w:rPr>
                <w:rFonts w:ascii="Calibri Light" w:hAnsi="Calibri Light" w:cs="Calibri Light"/>
                <w:b/>
                <w:i/>
                <w:color w:val="000000" w:themeColor="text1"/>
                <w:lang w:val="ro-RO"/>
              </w:rPr>
              <w:t>Date</w:t>
            </w:r>
            <w:r w:rsidR="004449C1" w:rsidRPr="00363626">
              <w:rPr>
                <w:rFonts w:ascii="Calibri Light" w:hAnsi="Calibri Light" w:cs="Calibri Light"/>
                <w:b/>
                <w:i/>
                <w:color w:val="000000" w:themeColor="text1"/>
                <w:lang w:val="ro-RO"/>
              </w:rPr>
              <w:t xml:space="preserve"> de contact</w:t>
            </w:r>
          </w:p>
          <w:p w:rsidR="004449C1" w:rsidRPr="00D50450" w:rsidRDefault="004449C1" w:rsidP="004449C1">
            <w:pPr>
              <w:jc w:val="both"/>
              <w:rPr>
                <w:rFonts w:ascii="Calibri Light" w:hAnsi="Calibri Light" w:cs="Calibri Light"/>
                <w:color w:val="000000" w:themeColor="text1"/>
                <w:lang w:val="ro-RO"/>
              </w:rPr>
            </w:pPr>
          </w:p>
          <w:p w:rsidR="004449C1" w:rsidRPr="00D50450" w:rsidRDefault="004449C1" w:rsidP="004449C1">
            <w:pPr>
              <w:ind w:firstLine="522"/>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Mai jos, se pot găsi detalii de contact ale organizațiilor și instituțiilor care participă la proiect, pentru a facilita cooperarea și coordonarea între ele: </w:t>
            </w:r>
          </w:p>
          <w:p w:rsidR="004449C1" w:rsidRPr="00D50450" w:rsidRDefault="004449C1" w:rsidP="004449C1">
            <w:pPr>
              <w:ind w:firstLine="522"/>
              <w:jc w:val="both"/>
              <w:rPr>
                <w:rFonts w:ascii="Calibri Light" w:hAnsi="Calibri Light" w:cs="Calibri Light"/>
                <w:color w:val="000000" w:themeColor="text1"/>
                <w:lang w:val="ro-RO"/>
              </w:rPr>
            </w:pPr>
          </w:p>
          <w:p w:rsidR="004449C1" w:rsidRPr="00D50450" w:rsidRDefault="004449C1" w:rsidP="004449C1">
            <w:pPr>
              <w:pStyle w:val="HTMLPreformatted"/>
              <w:shd w:val="clear" w:color="auto" w:fill="FFFFFF"/>
              <w:jc w:val="both"/>
              <w:rPr>
                <w:rFonts w:ascii="Calibri Light" w:eastAsiaTheme="minorHAnsi" w:hAnsi="Calibri Light" w:cs="Calibri Light"/>
                <w:color w:val="000000" w:themeColor="text1"/>
                <w:sz w:val="22"/>
                <w:szCs w:val="22"/>
                <w:lang w:val="ro-RO"/>
              </w:rPr>
            </w:pPr>
            <w:r w:rsidRPr="00D50450">
              <w:rPr>
                <w:rFonts w:ascii="Calibri Light" w:eastAsiaTheme="minorHAnsi" w:hAnsi="Calibri Light" w:cs="Calibri Light"/>
                <w:color w:val="000000" w:themeColor="text1"/>
                <w:sz w:val="22"/>
                <w:szCs w:val="22"/>
                <w:lang w:val="ro-RO"/>
              </w:rPr>
              <w:t>Polonia</w:t>
            </w:r>
          </w:p>
          <w:p w:rsidR="004449C1" w:rsidRDefault="004449C1" w:rsidP="004449C1">
            <w:pPr>
              <w:pStyle w:val="HTMLPreformatted"/>
              <w:numPr>
                <w:ilvl w:val="0"/>
                <w:numId w:val="33"/>
              </w:numPr>
              <w:shd w:val="clear" w:color="auto" w:fill="FFFFFF"/>
              <w:jc w:val="both"/>
              <w:rPr>
                <w:rFonts w:ascii="Calibri Light" w:eastAsiaTheme="minorHAnsi" w:hAnsi="Calibri Light" w:cs="Calibri Light"/>
                <w:color w:val="000000" w:themeColor="text1"/>
                <w:sz w:val="22"/>
                <w:szCs w:val="22"/>
                <w:lang w:val="ro-RO"/>
              </w:rPr>
            </w:pPr>
            <w:r w:rsidRPr="00945127">
              <w:rPr>
                <w:rFonts w:ascii="Calibri Light" w:eastAsiaTheme="minorHAnsi" w:hAnsi="Calibri Light" w:cs="Calibri Light"/>
                <w:color w:val="000000" w:themeColor="text1"/>
                <w:sz w:val="22"/>
                <w:szCs w:val="22"/>
                <w:lang w:val="ro-RO"/>
              </w:rPr>
              <w:t>Niezależny Samorządny Związek Zawodowy Pracowników Arcelor Mittal Poland S.A./ Sindicatul Independent al Arcelor Mittal Polonia  (PL)</w:t>
            </w:r>
          </w:p>
          <w:p w:rsidR="004449C1" w:rsidRDefault="004449C1" w:rsidP="004449C1">
            <w:pPr>
              <w:pStyle w:val="HTMLPreformatted"/>
              <w:shd w:val="clear" w:color="auto" w:fill="FFFFFF"/>
              <w:ind w:left="720"/>
              <w:jc w:val="both"/>
              <w:rPr>
                <w:rFonts w:ascii="Calibri Light" w:eastAsiaTheme="minorHAnsi" w:hAnsi="Calibri Light" w:cs="Calibri Light"/>
                <w:color w:val="000000" w:themeColor="text1"/>
                <w:sz w:val="22"/>
                <w:szCs w:val="22"/>
                <w:lang w:val="ro-RO"/>
              </w:rPr>
            </w:pPr>
          </w:p>
          <w:p w:rsidR="004449C1" w:rsidRPr="00D50450" w:rsidRDefault="004449C1" w:rsidP="004449C1">
            <w:pPr>
              <w:pStyle w:val="ListParagraph"/>
              <w:numPr>
                <w:ilvl w:val="0"/>
                <w:numId w:val="33"/>
              </w:num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Międzyzakładowy Związek Zawodowy Pracowników Arcelor Mittal Dąbrowa Górnicza / </w:t>
            </w:r>
            <w:r w:rsidRPr="00D50450">
              <w:rPr>
                <w:rFonts w:ascii="Calibri Light" w:hAnsi="Calibri Light" w:cs="Calibri Light"/>
                <w:color w:val="000000" w:themeColor="text1"/>
                <w:lang w:val="ro-RO"/>
              </w:rPr>
              <w:br/>
              <w:t>Sindicatul Muncitorilor din Arcelor Mittal Dabrowa Gornicza (MZZPAMDG) (PL)</w:t>
            </w:r>
          </w:p>
          <w:p w:rsidR="004449C1" w:rsidRPr="00D50450" w:rsidRDefault="004449C1" w:rsidP="004449C1">
            <w:pPr>
              <w:ind w:firstLine="360"/>
              <w:jc w:val="both"/>
              <w:rPr>
                <w:rFonts w:ascii="Calibri Light" w:hAnsi="Calibri Light" w:cs="Calibri Light"/>
                <w:color w:val="000000" w:themeColor="text1"/>
                <w:lang w:val="ro-RO"/>
              </w:rPr>
            </w:pPr>
          </w:p>
          <w:p w:rsidR="004449C1" w:rsidRPr="00D50450" w:rsidRDefault="004449C1" w:rsidP="00592698">
            <w:p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Bulgaria</w:t>
            </w:r>
          </w:p>
          <w:p w:rsidR="004449C1" w:rsidRPr="00D50450" w:rsidRDefault="004449C1" w:rsidP="004449C1">
            <w:pPr>
              <w:pStyle w:val="HTMLPreformatted"/>
              <w:numPr>
                <w:ilvl w:val="0"/>
                <w:numId w:val="33"/>
              </w:numPr>
              <w:shd w:val="clear" w:color="auto" w:fill="FFFFFF"/>
              <w:tabs>
                <w:tab w:val="clear" w:pos="916"/>
                <w:tab w:val="left" w:pos="792"/>
              </w:tabs>
              <w:ind w:left="1062"/>
              <w:jc w:val="both"/>
              <w:rPr>
                <w:rFonts w:ascii="Calibri Light" w:eastAsiaTheme="minorHAnsi" w:hAnsi="Calibri Light" w:cs="Calibri Light"/>
                <w:color w:val="000000" w:themeColor="text1"/>
                <w:sz w:val="22"/>
                <w:szCs w:val="22"/>
                <w:lang w:val="ro-RO"/>
              </w:rPr>
            </w:pPr>
            <w:r w:rsidRPr="008F30CC">
              <w:rPr>
                <w:rFonts w:ascii="Calibri Light" w:eastAsiaTheme="minorHAnsi" w:hAnsi="Calibri Light" w:cs="Calibri Light"/>
                <w:color w:val="000000" w:themeColor="text1"/>
                <w:sz w:val="22"/>
                <w:szCs w:val="22"/>
                <w:lang w:val="ro-RO"/>
              </w:rPr>
              <w:t>Syndical Federation of Machine Builders and Metal Workers CL PODKREPA</w:t>
            </w:r>
            <w:r w:rsidRPr="00D50450">
              <w:rPr>
                <w:rFonts w:ascii="Calibri Light" w:eastAsiaTheme="minorHAnsi" w:hAnsi="Calibri Light" w:cs="Calibri Light"/>
                <w:color w:val="000000" w:themeColor="text1"/>
                <w:sz w:val="22"/>
                <w:szCs w:val="22"/>
                <w:lang w:val="ro-RO"/>
              </w:rPr>
              <w:t xml:space="preserve"> </w:t>
            </w:r>
            <w:r>
              <w:rPr>
                <w:rFonts w:ascii="Calibri Light" w:eastAsiaTheme="minorHAnsi" w:hAnsi="Calibri Light" w:cs="Calibri Light"/>
                <w:color w:val="000000" w:themeColor="text1"/>
                <w:sz w:val="22"/>
                <w:szCs w:val="22"/>
                <w:lang w:val="ro-RO"/>
              </w:rPr>
              <w:t xml:space="preserve">/ </w:t>
            </w:r>
            <w:r w:rsidRPr="00D50450">
              <w:rPr>
                <w:rFonts w:ascii="Calibri Light" w:eastAsiaTheme="minorHAnsi" w:hAnsi="Calibri Light" w:cs="Calibri Light"/>
                <w:color w:val="000000" w:themeColor="text1"/>
                <w:sz w:val="22"/>
                <w:szCs w:val="22"/>
                <w:lang w:val="ro-RO"/>
              </w:rPr>
              <w:t>Federația sindicală a constructorilor de mașini și a lucrătorilor din metal CL P</w:t>
            </w:r>
            <w:r>
              <w:rPr>
                <w:rFonts w:ascii="Calibri Light" w:eastAsiaTheme="minorHAnsi" w:hAnsi="Calibri Light" w:cs="Calibri Light"/>
                <w:color w:val="000000" w:themeColor="text1"/>
                <w:sz w:val="22"/>
                <w:szCs w:val="22"/>
                <w:lang w:val="ro-RO"/>
              </w:rPr>
              <w:t>ODKREPA  (SFMMCL PODKREPA), Co-a</w:t>
            </w:r>
            <w:r w:rsidRPr="00D50450">
              <w:rPr>
                <w:rFonts w:ascii="Calibri Light" w:eastAsiaTheme="minorHAnsi" w:hAnsi="Calibri Light" w:cs="Calibri Light"/>
                <w:color w:val="000000" w:themeColor="text1"/>
                <w:sz w:val="22"/>
                <w:szCs w:val="22"/>
                <w:lang w:val="ro-RO"/>
              </w:rPr>
              <w:t>plicant (BG)</w:t>
            </w:r>
          </w:p>
          <w:p w:rsidR="004449C1" w:rsidRPr="00D50450" w:rsidRDefault="004449C1" w:rsidP="00592698">
            <w:p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Spa</w:t>
            </w:r>
            <w:r>
              <w:rPr>
                <w:rFonts w:ascii="Calibri Light" w:hAnsi="Calibri Light" w:cs="Calibri Light"/>
                <w:color w:val="000000" w:themeColor="text1"/>
                <w:lang w:val="ro-RO"/>
              </w:rPr>
              <w:t>nia</w:t>
            </w:r>
          </w:p>
          <w:p w:rsidR="004449C1" w:rsidRPr="00D50450" w:rsidRDefault="004449C1" w:rsidP="004449C1">
            <w:pPr>
              <w:pStyle w:val="ListParagraph"/>
              <w:numPr>
                <w:ilvl w:val="0"/>
                <w:numId w:val="18"/>
              </w:num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Asociación Industrial Técnica y de Comercio</w:t>
            </w:r>
            <w:r>
              <w:rPr>
                <w:rFonts w:ascii="Calibri Light" w:hAnsi="Calibri Light" w:cs="Calibri Light"/>
                <w:color w:val="000000" w:themeColor="text1"/>
                <w:lang w:val="ro-RO"/>
              </w:rPr>
              <w:t>-  Asociaţia Industrială</w:t>
            </w:r>
            <w:r w:rsidRPr="00D50450">
              <w:rPr>
                <w:rFonts w:ascii="Calibri Light" w:hAnsi="Calibri Light" w:cs="Calibri Light"/>
                <w:color w:val="000000" w:themeColor="text1"/>
                <w:lang w:val="ro-RO"/>
              </w:rPr>
              <w:t xml:space="preserve"> </w:t>
            </w:r>
            <w:r>
              <w:rPr>
                <w:rFonts w:ascii="Calibri Light" w:hAnsi="Calibri Light" w:cs="Calibri Light"/>
                <w:color w:val="000000" w:themeColor="text1"/>
                <w:lang w:val="ro-RO"/>
              </w:rPr>
              <w:t>tehnică şi de comerţ</w:t>
            </w:r>
            <w:r w:rsidRPr="00D50450">
              <w:rPr>
                <w:rFonts w:ascii="Calibri Light" w:hAnsi="Calibri Light" w:cs="Calibri Light"/>
                <w:color w:val="000000" w:themeColor="text1"/>
                <w:lang w:val="ro-RO"/>
              </w:rPr>
              <w:t xml:space="preserve"> (ASITECO) (ES)</w:t>
            </w:r>
          </w:p>
          <w:p w:rsidR="004449C1" w:rsidRPr="00D50450" w:rsidRDefault="004449C1" w:rsidP="00592698">
            <w:p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Gre</w:t>
            </w:r>
            <w:r>
              <w:rPr>
                <w:rFonts w:ascii="Calibri Light" w:hAnsi="Calibri Light" w:cs="Calibri Light"/>
                <w:color w:val="000000" w:themeColor="text1"/>
                <w:lang w:val="ro-RO"/>
              </w:rPr>
              <w:t>cia</w:t>
            </w:r>
          </w:p>
          <w:p w:rsidR="004449C1" w:rsidRPr="008F30CC" w:rsidRDefault="004449C1" w:rsidP="004449C1">
            <w:pPr>
              <w:pStyle w:val="ListParagraph"/>
              <w:numPr>
                <w:ilvl w:val="0"/>
                <w:numId w:val="18"/>
              </w:num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Panepistimio Thessaly’s/ University of Thessaly, Career &amp; Vocatio</w:t>
            </w:r>
            <w:r>
              <w:rPr>
                <w:rFonts w:ascii="Calibri Light" w:hAnsi="Calibri Light" w:cs="Calibri Light"/>
                <w:color w:val="000000" w:themeColor="text1"/>
                <w:lang w:val="ro-RO"/>
              </w:rPr>
              <w:t xml:space="preserve">nal Training Center/ </w:t>
            </w:r>
            <w:r w:rsidRPr="008F30CC">
              <w:rPr>
                <w:rFonts w:ascii="Calibri Light" w:hAnsi="Calibri Light" w:cs="Calibri Light"/>
                <w:color w:val="000000" w:themeColor="text1"/>
                <w:lang w:val="ro-RO"/>
              </w:rPr>
              <w:t xml:space="preserve"> Universitatea din Thessaly, Centrul de pregătire profesională și </w:t>
            </w:r>
            <w:r>
              <w:rPr>
                <w:rFonts w:ascii="Calibri Light" w:hAnsi="Calibri Light" w:cs="Calibri Light"/>
                <w:color w:val="000000" w:themeColor="text1"/>
                <w:lang w:val="ro-RO"/>
              </w:rPr>
              <w:t xml:space="preserve">vocaţională </w:t>
            </w:r>
            <w:r w:rsidRPr="008F30CC">
              <w:rPr>
                <w:rFonts w:ascii="Calibri Light" w:hAnsi="Calibri Light" w:cs="Calibri Light"/>
                <w:color w:val="000000" w:themeColor="text1"/>
                <w:lang w:val="ro-RO"/>
              </w:rPr>
              <w:t>(UTH), Co-aplicant (GR)</w:t>
            </w:r>
          </w:p>
          <w:p w:rsidR="004449C1" w:rsidRPr="00D50450" w:rsidRDefault="004449C1" w:rsidP="00592698">
            <w:p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Serbia</w:t>
            </w:r>
          </w:p>
          <w:p w:rsidR="004449C1" w:rsidRPr="00D50450" w:rsidRDefault="004449C1" w:rsidP="004449C1">
            <w:pPr>
              <w:pStyle w:val="ListParagraph"/>
              <w:numPr>
                <w:ilvl w:val="0"/>
                <w:numId w:val="18"/>
              </w:numPr>
              <w:jc w:val="both"/>
              <w:rPr>
                <w:rFonts w:ascii="Calibri Light" w:hAnsi="Calibri Light" w:cs="Calibri Light"/>
                <w:color w:val="000000" w:themeColor="text1"/>
                <w:lang w:val="ro-RO"/>
              </w:rPr>
            </w:pPr>
            <w:r>
              <w:rPr>
                <w:rFonts w:ascii="Calibri Light" w:hAnsi="Calibri Light" w:cs="Calibri Light"/>
                <w:color w:val="000000" w:themeColor="text1"/>
                <w:lang w:val="ro-RO"/>
              </w:rPr>
              <w:t>Asociaţia Sârbă a</w:t>
            </w:r>
            <w:r w:rsidRPr="00D50450">
              <w:rPr>
                <w:rFonts w:ascii="Calibri Light" w:hAnsi="Calibri Light" w:cs="Calibri Light"/>
                <w:color w:val="000000" w:themeColor="text1"/>
                <w:lang w:val="ro-RO"/>
              </w:rPr>
              <w:t xml:space="preserve"> SMEs – </w:t>
            </w:r>
            <w:r>
              <w:rPr>
                <w:rFonts w:ascii="Calibri Light" w:hAnsi="Calibri Light" w:cs="Calibri Light"/>
                <w:color w:val="000000" w:themeColor="text1"/>
                <w:lang w:val="ro-RO"/>
              </w:rPr>
              <w:t>asociaţia antreprenorilor</w:t>
            </w:r>
            <w:r w:rsidRPr="00D50450">
              <w:rPr>
                <w:rFonts w:ascii="Calibri Light" w:hAnsi="Calibri Light" w:cs="Calibri Light"/>
                <w:color w:val="000000" w:themeColor="text1"/>
                <w:lang w:val="ro-RO"/>
              </w:rPr>
              <w:t xml:space="preserve"> (RS)</w:t>
            </w:r>
          </w:p>
          <w:p w:rsidR="004449C1" w:rsidRPr="00D50450" w:rsidRDefault="004449C1" w:rsidP="004449C1">
            <w:pPr>
              <w:pStyle w:val="ListParagraph"/>
              <w:numPr>
                <w:ilvl w:val="0"/>
                <w:numId w:val="18"/>
              </w:numPr>
              <w:jc w:val="both"/>
              <w:rPr>
                <w:rFonts w:ascii="Calibri Light" w:hAnsi="Calibri Light" w:cs="Calibri Light"/>
                <w:color w:val="000000" w:themeColor="text1"/>
                <w:lang w:val="ro-RO"/>
              </w:rPr>
            </w:pPr>
            <w:r>
              <w:rPr>
                <w:rFonts w:ascii="Calibri Light" w:hAnsi="Calibri Light" w:cs="Calibri Light"/>
                <w:color w:val="000000" w:themeColor="text1"/>
                <w:lang w:val="ro-RO"/>
              </w:rPr>
              <w:t>Sindicatul angajaţilor din</w:t>
            </w:r>
            <w:r w:rsidRPr="00D50450">
              <w:rPr>
                <w:rFonts w:ascii="Calibri Light" w:hAnsi="Calibri Light" w:cs="Calibri Light"/>
                <w:color w:val="000000" w:themeColor="text1"/>
                <w:lang w:val="ro-RO"/>
              </w:rPr>
              <w:t xml:space="preserve"> Vojvodina (UPV) (RS)</w:t>
            </w:r>
          </w:p>
          <w:p w:rsidR="004449C1" w:rsidRPr="00D50450" w:rsidRDefault="004449C1" w:rsidP="00592698">
            <w:pPr>
              <w:jc w:val="both"/>
              <w:rPr>
                <w:rFonts w:ascii="Calibri Light" w:hAnsi="Calibri Light" w:cs="Calibri Light"/>
                <w:color w:val="000000" w:themeColor="text1"/>
                <w:lang w:val="ro-RO"/>
              </w:rPr>
            </w:pPr>
            <w:r>
              <w:rPr>
                <w:rFonts w:ascii="Calibri Light" w:hAnsi="Calibri Light" w:cs="Calibri Light"/>
                <w:color w:val="000000" w:themeColor="text1"/>
                <w:lang w:val="ro-RO"/>
              </w:rPr>
              <w:t>Italia</w:t>
            </w:r>
          </w:p>
          <w:p w:rsidR="004449C1" w:rsidRPr="00D50450" w:rsidRDefault="004449C1" w:rsidP="004449C1">
            <w:pPr>
              <w:pStyle w:val="ListParagraph"/>
              <w:numPr>
                <w:ilvl w:val="0"/>
                <w:numId w:val="19"/>
              </w:num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Veneto Lavoro / </w:t>
            </w:r>
            <w:r>
              <w:rPr>
                <w:rFonts w:ascii="Calibri Light" w:hAnsi="Calibri Light" w:cs="Calibri Light"/>
                <w:color w:val="000000" w:themeColor="text1"/>
                <w:lang w:val="ro-RO"/>
              </w:rPr>
              <w:t>Biroul pentru ocuparea forţei de muncă din regiunea</w:t>
            </w:r>
            <w:r w:rsidRPr="00D50450">
              <w:rPr>
                <w:rFonts w:ascii="Calibri Light" w:hAnsi="Calibri Light" w:cs="Calibri Light"/>
                <w:color w:val="000000" w:themeColor="text1"/>
                <w:lang w:val="ro-RO"/>
              </w:rPr>
              <w:t xml:space="preserve"> Veneto (VL) (IT)</w:t>
            </w:r>
          </w:p>
          <w:p w:rsidR="004449C1" w:rsidRPr="00D50450" w:rsidRDefault="004449C1" w:rsidP="00592698">
            <w:pPr>
              <w:jc w:val="both"/>
              <w:rPr>
                <w:rFonts w:ascii="Calibri Light" w:hAnsi="Calibri Light" w:cs="Calibri Light"/>
                <w:color w:val="000000" w:themeColor="text1"/>
                <w:lang w:val="ro-RO"/>
              </w:rPr>
            </w:pPr>
            <w:r>
              <w:rPr>
                <w:rFonts w:ascii="Calibri Light" w:hAnsi="Calibri Light" w:cs="Calibri Light"/>
                <w:color w:val="000000" w:themeColor="text1"/>
                <w:lang w:val="ro-RO"/>
              </w:rPr>
              <w:t>Lit</w:t>
            </w:r>
            <w:r w:rsidRPr="00D50450">
              <w:rPr>
                <w:rFonts w:ascii="Calibri Light" w:hAnsi="Calibri Light" w:cs="Calibri Light"/>
                <w:color w:val="000000" w:themeColor="text1"/>
                <w:lang w:val="ro-RO"/>
              </w:rPr>
              <w:t>uania</w:t>
            </w:r>
          </w:p>
          <w:p w:rsidR="004449C1" w:rsidRPr="00D50450" w:rsidRDefault="004449C1" w:rsidP="004449C1">
            <w:pPr>
              <w:pStyle w:val="ListParagraph"/>
              <w:numPr>
                <w:ilvl w:val="0"/>
                <w:numId w:val="19"/>
              </w:num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LIETUVOS PROFESINIŲ SĄJUNGŲ KONFEDERACIJA / </w:t>
            </w:r>
            <w:r>
              <w:rPr>
                <w:rFonts w:ascii="Calibri Light" w:hAnsi="Calibri Light" w:cs="Calibri Light"/>
                <w:color w:val="000000" w:themeColor="text1"/>
                <w:lang w:val="ro-RO"/>
              </w:rPr>
              <w:t>Confederaţia sindicatelor muncii din Lituania</w:t>
            </w:r>
            <w:r w:rsidRPr="00D50450">
              <w:rPr>
                <w:rFonts w:ascii="Calibri Light" w:hAnsi="Calibri Light" w:cs="Calibri Light"/>
                <w:color w:val="000000" w:themeColor="text1"/>
                <w:lang w:val="ro-RO"/>
              </w:rPr>
              <w:t xml:space="preserve"> </w:t>
            </w:r>
            <w:r w:rsidRPr="00D50450">
              <w:rPr>
                <w:rFonts w:ascii="Calibri Light" w:hAnsi="Calibri Light" w:cs="Calibri Light"/>
                <w:color w:val="000000" w:themeColor="text1"/>
                <w:lang w:val="ro-RO"/>
              </w:rPr>
              <w:lastRenderedPageBreak/>
              <w:t>(LPSK), (LT)</w:t>
            </w:r>
          </w:p>
          <w:p w:rsidR="004449C1" w:rsidRPr="00D50450" w:rsidRDefault="004449C1" w:rsidP="004449C1">
            <w:pPr>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br w:type="page"/>
            </w:r>
          </w:p>
          <w:p w:rsidR="004449C1" w:rsidRPr="00363626" w:rsidRDefault="004449C1" w:rsidP="004449C1">
            <w:pPr>
              <w:ind w:firstLine="360"/>
              <w:jc w:val="center"/>
              <w:rPr>
                <w:rFonts w:ascii="Calibri Light" w:hAnsi="Calibri Light" w:cs="Calibri Light"/>
                <w:b/>
                <w:i/>
                <w:color w:val="000000" w:themeColor="text1"/>
                <w:lang w:val="ro-RO"/>
              </w:rPr>
            </w:pPr>
            <w:r w:rsidRPr="00363626">
              <w:rPr>
                <w:rFonts w:ascii="Calibri Light" w:hAnsi="Calibri Light" w:cs="Calibri Light"/>
                <w:b/>
                <w:i/>
                <w:color w:val="000000" w:themeColor="text1"/>
                <w:lang w:val="ro-RO"/>
              </w:rPr>
              <w:t>XI.</w:t>
            </w:r>
          </w:p>
          <w:p w:rsidR="004449C1" w:rsidRPr="00D50450" w:rsidRDefault="004449C1" w:rsidP="004449C1">
            <w:pPr>
              <w:jc w:val="center"/>
              <w:rPr>
                <w:rFonts w:ascii="Calibri Light" w:hAnsi="Calibri Light" w:cs="Calibri Light"/>
                <w:b/>
                <w:color w:val="000000" w:themeColor="text1"/>
                <w:lang w:val="ro-RO"/>
              </w:rPr>
            </w:pPr>
            <w:r w:rsidRPr="00363626">
              <w:rPr>
                <w:rFonts w:ascii="Calibri Light" w:hAnsi="Calibri Light" w:cs="Calibri Light"/>
                <w:b/>
                <w:i/>
                <w:color w:val="000000" w:themeColor="text1"/>
                <w:lang w:val="ro-RO"/>
              </w:rPr>
              <w:t xml:space="preserve">Site-uri web naționale selecționate pentru </w:t>
            </w:r>
            <w:r w:rsidR="00592698" w:rsidRPr="00363626">
              <w:rPr>
                <w:rFonts w:ascii="Calibri Light" w:hAnsi="Calibri Light" w:cs="Calibri Light"/>
                <w:b/>
                <w:i/>
                <w:color w:val="000000" w:themeColor="text1"/>
                <w:lang w:val="ro-RO"/>
              </w:rPr>
              <w:t>angajaţii</w:t>
            </w:r>
            <w:r w:rsidRPr="00363626">
              <w:rPr>
                <w:rFonts w:ascii="Calibri Light" w:hAnsi="Calibri Light" w:cs="Calibri Light"/>
                <w:b/>
                <w:i/>
                <w:color w:val="000000" w:themeColor="text1"/>
                <w:lang w:val="ro-RO"/>
              </w:rPr>
              <w:t xml:space="preserve"> detașați</w:t>
            </w:r>
            <w:r w:rsidRPr="00D50450">
              <w:rPr>
                <w:rStyle w:val="FootnoteReference"/>
                <w:rFonts w:ascii="Calibri Light" w:hAnsi="Calibri Light" w:cs="Calibri Light"/>
                <w:color w:val="000000" w:themeColor="text1"/>
                <w:lang w:val="ro-RO"/>
              </w:rPr>
              <w:footnoteReference w:id="6"/>
            </w:r>
          </w:p>
          <w:p w:rsidR="004449C1" w:rsidRPr="00D50450" w:rsidRDefault="004449C1" w:rsidP="004449C1">
            <w:pPr>
              <w:pStyle w:val="HTMLPreformatted"/>
              <w:shd w:val="clear" w:color="auto" w:fill="FFFFFF"/>
              <w:jc w:val="center"/>
              <w:rPr>
                <w:rFonts w:ascii="Calibri Light" w:eastAsiaTheme="minorHAnsi" w:hAnsi="Calibri Light" w:cs="Calibri Light"/>
                <w:b/>
                <w:color w:val="000000" w:themeColor="text1"/>
                <w:sz w:val="22"/>
                <w:szCs w:val="22"/>
                <w:lang w:val="ro-RO"/>
              </w:rPr>
            </w:pPr>
          </w:p>
          <w:p w:rsidR="004449C1" w:rsidRPr="008F30CC" w:rsidRDefault="004449C1" w:rsidP="004449C1">
            <w:pPr>
              <w:jc w:val="both"/>
              <w:rPr>
                <w:rFonts w:ascii="Calibri" w:hAnsi="Calibri" w:cs="Calibri"/>
                <w:color w:val="000000" w:themeColor="text1"/>
                <w:lang w:val="ro-RO"/>
              </w:rPr>
            </w:pPr>
            <w:r w:rsidRPr="008F30CC">
              <w:rPr>
                <w:rFonts w:ascii="Calibri" w:hAnsi="Calibri" w:cs="Calibri"/>
                <w:color w:val="000000" w:themeColor="text1"/>
                <w:lang w:val="ro-RO"/>
              </w:rPr>
              <w:t xml:space="preserve">Polonia:  </w:t>
            </w:r>
            <w:hyperlink r:id="rId10" w:history="1">
              <w:r w:rsidRPr="008F30CC">
                <w:rPr>
                  <w:rStyle w:val="Hyperlink"/>
                  <w:rFonts w:ascii="Calibri" w:hAnsi="Calibri" w:cs="Calibri"/>
                  <w:lang w:val="it-IT"/>
                </w:rPr>
                <w:t>www.pip.gov.pl</w:t>
              </w:r>
            </w:hyperlink>
            <w:r w:rsidRPr="008F30CC">
              <w:rPr>
                <w:rFonts w:ascii="Calibri" w:hAnsi="Calibri" w:cs="Calibri"/>
                <w:color w:val="000000" w:themeColor="text1"/>
                <w:lang w:val="ro-RO"/>
              </w:rPr>
              <w:t xml:space="preserve"> </w:t>
            </w:r>
          </w:p>
          <w:p w:rsidR="004449C1" w:rsidRPr="008F30CC" w:rsidRDefault="004449C1" w:rsidP="004449C1">
            <w:pPr>
              <w:jc w:val="both"/>
              <w:rPr>
                <w:rStyle w:val="Hyperlink"/>
                <w:rFonts w:ascii="Calibri" w:hAnsi="Calibri" w:cs="Calibri"/>
                <w:lang w:val="it-IT"/>
              </w:rPr>
            </w:pPr>
            <w:r w:rsidRPr="008F30CC">
              <w:rPr>
                <w:rFonts w:ascii="Calibri" w:hAnsi="Calibri" w:cs="Calibri"/>
                <w:color w:val="000000" w:themeColor="text1"/>
                <w:lang w:val="ro-RO"/>
              </w:rPr>
              <w:t xml:space="preserve">Bulgaria: </w:t>
            </w:r>
            <w:r w:rsidRPr="008F30CC">
              <w:rPr>
                <w:rStyle w:val="Hyperlink"/>
                <w:rFonts w:ascii="Calibri" w:hAnsi="Calibri" w:cs="Calibri"/>
                <w:lang w:val="it-IT"/>
              </w:rPr>
              <w:t>www.justice.government.bg</w:t>
            </w:r>
          </w:p>
          <w:p w:rsidR="004449C1" w:rsidRPr="008F30CC" w:rsidRDefault="004449C1" w:rsidP="004449C1">
            <w:pPr>
              <w:jc w:val="both"/>
              <w:rPr>
                <w:rFonts w:ascii="Calibri" w:hAnsi="Calibri" w:cs="Calibri"/>
                <w:color w:val="000000" w:themeColor="text1"/>
                <w:lang w:val="ro-RO"/>
              </w:rPr>
            </w:pPr>
            <w:r w:rsidRPr="008F30CC">
              <w:rPr>
                <w:rFonts w:ascii="Calibri" w:hAnsi="Calibri" w:cs="Calibri"/>
                <w:color w:val="000000" w:themeColor="text1"/>
                <w:lang w:val="ro-RO"/>
              </w:rPr>
              <w:t xml:space="preserve">Italia: </w:t>
            </w:r>
            <w:r w:rsidRPr="008F30CC">
              <w:rPr>
                <w:rStyle w:val="Hyperlink"/>
                <w:rFonts w:ascii="Calibri" w:hAnsi="Calibri" w:cs="Calibri"/>
                <w:lang w:val="it-IT"/>
              </w:rPr>
              <w:t>www.giustizia.it/uffici/info/tribunali.htm</w:t>
            </w:r>
          </w:p>
          <w:p w:rsidR="004449C1" w:rsidRPr="008F30CC" w:rsidRDefault="004449C1" w:rsidP="004449C1">
            <w:pPr>
              <w:jc w:val="both"/>
              <w:rPr>
                <w:rStyle w:val="Hyperlink"/>
                <w:rFonts w:ascii="Calibri" w:hAnsi="Calibri" w:cs="Calibri"/>
                <w:lang w:val="it-IT"/>
              </w:rPr>
            </w:pPr>
            <w:r w:rsidRPr="008F30CC">
              <w:rPr>
                <w:rFonts w:ascii="Calibri" w:hAnsi="Calibri" w:cs="Calibri"/>
                <w:color w:val="000000" w:themeColor="text1"/>
                <w:lang w:val="ro-RO"/>
              </w:rPr>
              <w:t xml:space="preserve">Lituania: </w:t>
            </w:r>
            <w:hyperlink r:id="rId11" w:history="1">
              <w:r w:rsidRPr="008F30CC">
                <w:rPr>
                  <w:rStyle w:val="Hyperlink"/>
                  <w:rFonts w:ascii="Calibri" w:hAnsi="Calibri" w:cs="Calibri"/>
                  <w:lang w:val="it-IT"/>
                </w:rPr>
                <w:t>www.vdi.lt/Forms/Tema.aspx?Tema_ID=50</w:t>
              </w:r>
            </w:hyperlink>
          </w:p>
          <w:p w:rsidR="004449C1" w:rsidRPr="008F30CC" w:rsidRDefault="004449C1" w:rsidP="004449C1">
            <w:pPr>
              <w:jc w:val="both"/>
              <w:rPr>
                <w:rFonts w:ascii="Calibri" w:hAnsi="Calibri" w:cs="Calibri"/>
                <w:color w:val="000000" w:themeColor="text1"/>
                <w:lang w:val="ro-RO"/>
              </w:rPr>
            </w:pPr>
            <w:r w:rsidRPr="008F30CC">
              <w:rPr>
                <w:rFonts w:ascii="Calibri" w:hAnsi="Calibri" w:cs="Calibri"/>
                <w:color w:val="000000" w:themeColor="text1"/>
                <w:lang w:val="ro-RO"/>
              </w:rPr>
              <w:t xml:space="preserve">Slovacia: </w:t>
            </w:r>
            <w:hyperlink r:id="rId12" w:history="1">
              <w:r w:rsidRPr="008F30CC">
                <w:rPr>
                  <w:rStyle w:val="Hyperlink"/>
                  <w:rFonts w:ascii="Calibri" w:hAnsi="Calibri" w:cs="Calibri"/>
                  <w:lang w:val="it-IT"/>
                </w:rPr>
                <w:t>www.ip.gov.sk/?site_lang=en&amp;t=46&amp;s=198&amp;id_fi</w:t>
              </w:r>
            </w:hyperlink>
          </w:p>
          <w:p w:rsidR="004449C1" w:rsidRPr="008F30CC" w:rsidRDefault="004449C1" w:rsidP="004449C1">
            <w:pPr>
              <w:jc w:val="both"/>
              <w:rPr>
                <w:rFonts w:ascii="Calibri" w:hAnsi="Calibri" w:cs="Calibri"/>
                <w:color w:val="000000" w:themeColor="text1"/>
                <w:lang w:val="ro-RO"/>
              </w:rPr>
            </w:pPr>
            <w:r w:rsidRPr="008F30CC">
              <w:rPr>
                <w:rFonts w:ascii="Calibri" w:hAnsi="Calibri" w:cs="Calibri"/>
                <w:color w:val="000000" w:themeColor="text1"/>
                <w:lang w:val="ro-RO"/>
              </w:rPr>
              <w:t xml:space="preserve">Grecia: </w:t>
            </w:r>
            <w:r w:rsidRPr="008F30CC">
              <w:rPr>
                <w:rStyle w:val="Hyperlink"/>
                <w:rFonts w:ascii="Calibri" w:hAnsi="Calibri" w:cs="Calibri"/>
                <w:lang w:val="it-IT"/>
              </w:rPr>
              <w:t>www.ypakp.gr</w:t>
            </w:r>
          </w:p>
          <w:p w:rsidR="004449C1" w:rsidRPr="008F30CC" w:rsidRDefault="004449C1" w:rsidP="004449C1">
            <w:pPr>
              <w:jc w:val="both"/>
              <w:rPr>
                <w:rStyle w:val="Hyperlink"/>
                <w:rFonts w:ascii="Calibri" w:hAnsi="Calibri" w:cs="Calibri"/>
                <w:lang w:val="it-IT"/>
              </w:rPr>
            </w:pPr>
            <w:r w:rsidRPr="008F30CC">
              <w:rPr>
                <w:rFonts w:ascii="Calibri" w:hAnsi="Calibri" w:cs="Calibri"/>
                <w:color w:val="000000" w:themeColor="text1"/>
                <w:lang w:val="ro-RO"/>
              </w:rPr>
              <w:t xml:space="preserve">Spania: </w:t>
            </w:r>
            <w:hyperlink r:id="rId13" w:history="1">
              <w:r w:rsidRPr="008F30CC">
                <w:rPr>
                  <w:rStyle w:val="Hyperlink"/>
                  <w:rFonts w:ascii="Calibri" w:hAnsi="Calibri" w:cs="Calibri"/>
                  <w:lang w:val="it-IT"/>
                </w:rPr>
                <w:t>www.mitramiss.gob.es/es/sec_trabajo/debes_saber/desplazamiento-trabajadores-eng/index.htm</w:t>
              </w:r>
            </w:hyperlink>
          </w:p>
          <w:p w:rsidR="004449C1" w:rsidRPr="00D50450" w:rsidRDefault="004449C1" w:rsidP="004449C1">
            <w:pPr>
              <w:jc w:val="both"/>
              <w:rPr>
                <w:rFonts w:ascii="Calibri Light" w:hAnsi="Calibri Light" w:cs="Calibri Light"/>
                <w:color w:val="000000" w:themeColor="text1"/>
                <w:lang w:val="ro-RO"/>
              </w:rPr>
            </w:pPr>
          </w:p>
          <w:p w:rsidR="004449C1" w:rsidRDefault="004449C1" w:rsidP="004449C1">
            <w:pPr>
              <w:ind w:firstLine="708"/>
              <w:jc w:val="both"/>
              <w:rPr>
                <w:rFonts w:ascii="Calibri Light" w:hAnsi="Calibri Light" w:cs="Calibri Light"/>
                <w:b/>
                <w:color w:val="000000" w:themeColor="text1"/>
                <w:lang w:val="ro-RO"/>
              </w:rPr>
            </w:pPr>
            <w:r w:rsidRPr="00D50450">
              <w:rPr>
                <w:rFonts w:ascii="Calibri Light" w:hAnsi="Calibri Light" w:cs="Calibri Light"/>
                <w:color w:val="000000" w:themeColor="text1"/>
                <w:lang w:val="ro-RO"/>
              </w:rPr>
              <w:br/>
            </w:r>
            <w:r w:rsidRPr="00D50450">
              <w:rPr>
                <w:rFonts w:ascii="Calibri Light" w:hAnsi="Calibri Light" w:cs="Calibri Light"/>
                <w:b/>
                <w:color w:val="000000" w:themeColor="text1"/>
                <w:lang w:val="ro-RO"/>
              </w:rPr>
              <w:t xml:space="preserve">Cuprins: </w:t>
            </w:r>
          </w:p>
          <w:p w:rsidR="00E92695" w:rsidRDefault="00E92695" w:rsidP="004449C1">
            <w:pPr>
              <w:ind w:firstLine="708"/>
              <w:jc w:val="both"/>
              <w:rPr>
                <w:rFonts w:ascii="Calibri Light" w:hAnsi="Calibri Light" w:cs="Calibri Light"/>
                <w:b/>
                <w:color w:val="000000" w:themeColor="text1"/>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05"/>
              <w:gridCol w:w="854"/>
            </w:tblGrid>
            <w:tr w:rsidR="00E92695" w:rsidTr="00E92695">
              <w:tc>
                <w:tcPr>
                  <w:tcW w:w="8905" w:type="dxa"/>
                </w:tcPr>
                <w:p w:rsidR="00E92695" w:rsidRPr="00D50450" w:rsidRDefault="00E92695" w:rsidP="0050766D">
                  <w:pPr>
                    <w:framePr w:hSpace="180" w:wrap="around" w:vAnchor="text" w:hAnchor="text" w:x="-342" w:y="1"/>
                    <w:ind w:firstLine="67"/>
                    <w:suppressOverlap/>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I.</w:t>
                  </w:r>
                  <w:r w:rsidR="00571A46">
                    <w:rPr>
                      <w:rFonts w:ascii="Calibri Light" w:hAnsi="Calibri Light" w:cs="Calibri Light"/>
                      <w:color w:val="000000" w:themeColor="text1"/>
                      <w:lang w:val="ro-RO"/>
                    </w:rPr>
                    <w:t xml:space="preserve"> Informații generale</w:t>
                  </w:r>
                  <w:r>
                    <w:rPr>
                      <w:rFonts w:ascii="Calibri Light" w:hAnsi="Calibri Light" w:cs="Calibri Light"/>
                      <w:color w:val="000000" w:themeColor="text1"/>
                      <w:lang w:val="ro-RO"/>
                    </w:rPr>
                    <w:t xml:space="preserve"> </w:t>
                  </w:r>
                </w:p>
                <w:p w:rsidR="00E92695" w:rsidRPr="00D50450" w:rsidRDefault="00E92695" w:rsidP="0050766D">
                  <w:pPr>
                    <w:framePr w:hSpace="180" w:wrap="around" w:vAnchor="text" w:hAnchor="text" w:x="-342" w:y="1"/>
                    <w:ind w:firstLine="67"/>
                    <w:suppressOverlap/>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II. O</w:t>
                  </w:r>
                  <w:r w:rsidR="00571A46">
                    <w:rPr>
                      <w:rFonts w:ascii="Calibri Light" w:hAnsi="Calibri Light" w:cs="Calibri Light"/>
                      <w:color w:val="000000" w:themeColor="text1"/>
                      <w:lang w:val="ro-RO"/>
                    </w:rPr>
                    <w:t>biectivele de proiect detaliate</w:t>
                  </w:r>
                  <w:r w:rsidRPr="00D50450">
                    <w:rPr>
                      <w:rFonts w:ascii="Calibri Light" w:hAnsi="Calibri Light" w:cs="Calibri Light"/>
                      <w:color w:val="000000" w:themeColor="text1"/>
                      <w:lang w:val="ro-RO"/>
                    </w:rPr>
                    <w:t xml:space="preserve"> </w:t>
                  </w:r>
                </w:p>
                <w:p w:rsidR="00E92695" w:rsidRPr="00D50450" w:rsidRDefault="00E92695" w:rsidP="0050766D">
                  <w:pPr>
                    <w:framePr w:hSpace="180" w:wrap="around" w:vAnchor="text" w:hAnchor="text" w:x="-342" w:y="1"/>
                    <w:ind w:firstLine="67"/>
                    <w:suppressOverlap/>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III. Caracteristicile juridice ale detașării</w:t>
                  </w:r>
                  <w:r>
                    <w:rPr>
                      <w:rFonts w:ascii="Calibri Light" w:hAnsi="Calibri Light" w:cs="Calibri Light"/>
                      <w:color w:val="000000" w:themeColor="text1"/>
                      <w:lang w:val="ro-RO"/>
                    </w:rPr>
                    <w:t xml:space="preserve"> forţei de muncă</w:t>
                  </w:r>
                  <w:r w:rsidRPr="00D50450">
                    <w:rPr>
                      <w:rFonts w:ascii="Calibri Light" w:hAnsi="Calibri Light" w:cs="Calibri Light"/>
                      <w:color w:val="000000" w:themeColor="text1"/>
                      <w:lang w:val="ro-RO"/>
                    </w:rPr>
                    <w:t xml:space="preserve">  </w:t>
                  </w:r>
                </w:p>
                <w:p w:rsidR="00E92695" w:rsidRPr="00D50450" w:rsidRDefault="00E92695" w:rsidP="0050766D">
                  <w:pPr>
                    <w:framePr w:hSpace="180" w:wrap="around" w:vAnchor="text" w:hAnchor="text" w:x="-342" w:y="1"/>
                    <w:ind w:firstLine="67"/>
                    <w:suppressOverlap/>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IV. Drepturi fundamentale ale unui </w:t>
                  </w:r>
                  <w:r>
                    <w:rPr>
                      <w:rFonts w:ascii="Calibri Light" w:hAnsi="Calibri Light" w:cs="Calibri Light"/>
                      <w:color w:val="000000" w:themeColor="text1"/>
                      <w:lang w:val="ro-RO"/>
                    </w:rPr>
                    <w:t>angajat</w:t>
                  </w:r>
                  <w:r w:rsidRPr="00D50450">
                    <w:rPr>
                      <w:rFonts w:ascii="Calibri Light" w:hAnsi="Calibri Light" w:cs="Calibri Light"/>
                      <w:color w:val="000000" w:themeColor="text1"/>
                      <w:lang w:val="ro-RO"/>
                    </w:rPr>
                    <w:t xml:space="preserve"> detașat  </w:t>
                  </w:r>
                </w:p>
                <w:p w:rsidR="00E92695" w:rsidRPr="00D50450" w:rsidRDefault="00E92695" w:rsidP="0050766D">
                  <w:pPr>
                    <w:framePr w:hSpace="180" w:wrap="around" w:vAnchor="text" w:hAnchor="text" w:x="-342" w:y="1"/>
                    <w:ind w:firstLine="67"/>
                    <w:suppressOverlap/>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V. </w:t>
                  </w:r>
                  <w:r>
                    <w:rPr>
                      <w:rFonts w:ascii="Calibri Light" w:hAnsi="Calibri Light" w:cs="Calibri Light"/>
                      <w:color w:val="000000" w:themeColor="text1"/>
                      <w:lang w:val="ro-RO"/>
                    </w:rPr>
                    <w:t>Extinderea</w:t>
                  </w:r>
                  <w:r w:rsidRPr="00D50450">
                    <w:rPr>
                      <w:rFonts w:ascii="Calibri Light" w:hAnsi="Calibri Light" w:cs="Calibri Light"/>
                      <w:color w:val="000000" w:themeColor="text1"/>
                      <w:lang w:val="ro-RO"/>
                    </w:rPr>
                    <w:t xml:space="preserve"> detaș</w:t>
                  </w:r>
                  <w:r>
                    <w:rPr>
                      <w:rFonts w:ascii="Calibri Light" w:hAnsi="Calibri Light" w:cs="Calibri Light"/>
                      <w:color w:val="000000" w:themeColor="text1"/>
                      <w:lang w:val="ro-RO"/>
                    </w:rPr>
                    <w:t>ării forţei de muncă</w:t>
                  </w:r>
                  <w:r w:rsidRPr="00D50450">
                    <w:rPr>
                      <w:rFonts w:ascii="Calibri Light" w:hAnsi="Calibri Light" w:cs="Calibri Light"/>
                      <w:color w:val="000000" w:themeColor="text1"/>
                      <w:lang w:val="ro-RO"/>
                    </w:rPr>
                    <w:t xml:space="preserve">  </w:t>
                  </w:r>
                </w:p>
                <w:p w:rsidR="00E92695" w:rsidRPr="00D50450" w:rsidRDefault="00E92695" w:rsidP="0050766D">
                  <w:pPr>
                    <w:framePr w:hSpace="180" w:wrap="around" w:vAnchor="text" w:hAnchor="text" w:x="-342" w:y="1"/>
                    <w:ind w:firstLine="67"/>
                    <w:suppressOverlap/>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VI. Cooperarea parteneri</w:t>
                  </w:r>
                  <w:r w:rsidR="00571A46">
                    <w:rPr>
                      <w:rFonts w:ascii="Calibri Light" w:hAnsi="Calibri Light" w:cs="Calibri Light"/>
                      <w:color w:val="000000" w:themeColor="text1"/>
                      <w:lang w:val="ro-RO"/>
                    </w:rPr>
                    <w:t>lor sociali și a altor entități</w:t>
                  </w:r>
                  <w:r w:rsidRPr="00D50450">
                    <w:rPr>
                      <w:rFonts w:ascii="Calibri Light" w:hAnsi="Calibri Light" w:cs="Calibri Light"/>
                      <w:color w:val="000000" w:themeColor="text1"/>
                      <w:lang w:val="ro-RO"/>
                    </w:rPr>
                    <w:t xml:space="preserve"> </w:t>
                  </w:r>
                </w:p>
                <w:p w:rsidR="00E92695" w:rsidRPr="00D50450" w:rsidRDefault="00E92695" w:rsidP="0050766D">
                  <w:pPr>
                    <w:framePr w:hSpace="180" w:wrap="around" w:vAnchor="text" w:hAnchor="text" w:x="-342" w:y="1"/>
                    <w:ind w:firstLine="67"/>
                    <w:suppressOverlap/>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VII. Discriminarea </w:t>
                  </w:r>
                  <w:r>
                    <w:rPr>
                      <w:rFonts w:ascii="Calibri Light" w:hAnsi="Calibri Light" w:cs="Calibri Light"/>
                      <w:color w:val="000000" w:themeColor="text1"/>
                      <w:lang w:val="ro-RO"/>
                    </w:rPr>
                    <w:t>angajaţilor</w:t>
                  </w:r>
                  <w:r w:rsidRPr="00D50450">
                    <w:rPr>
                      <w:rFonts w:ascii="Calibri Light" w:hAnsi="Calibri Light" w:cs="Calibri Light"/>
                      <w:color w:val="000000" w:themeColor="text1"/>
                      <w:lang w:val="ro-RO"/>
                    </w:rPr>
                    <w:t xml:space="preserve"> detașați. Politica </w:t>
                  </w:r>
                  <w:r>
                    <w:rPr>
                      <w:rFonts w:ascii="Calibri Light" w:hAnsi="Calibri Light" w:cs="Calibri Light"/>
                      <w:color w:val="000000" w:themeColor="text1"/>
                      <w:lang w:val="ro-RO"/>
                    </w:rPr>
                    <w:t>anti-</w:t>
                  </w:r>
                  <w:r w:rsidRPr="00D50450">
                    <w:rPr>
                      <w:rFonts w:ascii="Calibri Light" w:hAnsi="Calibri Light" w:cs="Calibri Light"/>
                      <w:color w:val="000000" w:themeColor="text1"/>
                      <w:lang w:val="ro-RO"/>
                    </w:rPr>
                    <w:t xml:space="preserve"> discrimin</w:t>
                  </w:r>
                  <w:r>
                    <w:rPr>
                      <w:rFonts w:ascii="Calibri Light" w:hAnsi="Calibri Light" w:cs="Calibri Light"/>
                      <w:color w:val="000000" w:themeColor="text1"/>
                      <w:lang w:val="ro-RO"/>
                    </w:rPr>
                    <w:t>are</w:t>
                  </w:r>
                  <w:r w:rsidRPr="00D50450">
                    <w:rPr>
                      <w:rFonts w:ascii="Calibri Light" w:hAnsi="Calibri Light" w:cs="Calibri Light"/>
                      <w:color w:val="000000" w:themeColor="text1"/>
                      <w:lang w:val="ro-RO"/>
                    </w:rPr>
                    <w:t xml:space="preserve"> la locul de muncă  </w:t>
                  </w:r>
                </w:p>
                <w:p w:rsidR="00E92695" w:rsidRPr="00D50450" w:rsidRDefault="00E92695" w:rsidP="0050766D">
                  <w:pPr>
                    <w:framePr w:hSpace="180" w:wrap="around" w:vAnchor="text" w:hAnchor="text" w:x="-342" w:y="1"/>
                    <w:ind w:firstLine="67"/>
                    <w:suppressOverlap/>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VIII. Monitorizarea, indicatorii d</w:t>
                  </w:r>
                  <w:r w:rsidR="00571A46">
                    <w:rPr>
                      <w:rFonts w:ascii="Calibri Light" w:hAnsi="Calibri Light" w:cs="Calibri Light"/>
                      <w:color w:val="000000" w:themeColor="text1"/>
                      <w:lang w:val="ro-RO"/>
                    </w:rPr>
                    <w:t>e aplicare și respectarea legii</w:t>
                  </w:r>
                  <w:r w:rsidRPr="00D50450">
                    <w:rPr>
                      <w:rFonts w:ascii="Calibri Light" w:hAnsi="Calibri Light" w:cs="Calibri Light"/>
                      <w:color w:val="000000" w:themeColor="text1"/>
                      <w:lang w:val="ro-RO"/>
                    </w:rPr>
                    <w:t xml:space="preserve"> </w:t>
                  </w:r>
                </w:p>
                <w:p w:rsidR="00E92695" w:rsidRPr="00D50450" w:rsidRDefault="00E92695" w:rsidP="0050766D">
                  <w:pPr>
                    <w:framePr w:hSpace="180" w:wrap="around" w:vAnchor="text" w:hAnchor="text" w:x="-342" w:y="1"/>
                    <w:ind w:firstLine="67"/>
                    <w:suppressOverlap/>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IX. Concluzii din cercetarea bazată pe sondaj</w:t>
                  </w:r>
                  <w:r>
                    <w:rPr>
                      <w:rFonts w:ascii="Calibri Light" w:hAnsi="Calibri Light" w:cs="Calibri Light"/>
                      <w:color w:val="000000" w:themeColor="text1"/>
                      <w:lang w:val="ro-RO"/>
                    </w:rPr>
                    <w:t>e</w:t>
                  </w:r>
                  <w:r w:rsidRPr="00D50450">
                    <w:rPr>
                      <w:rFonts w:ascii="Calibri Light" w:hAnsi="Calibri Light" w:cs="Calibri Light"/>
                      <w:color w:val="000000" w:themeColor="text1"/>
                      <w:lang w:val="ro-RO"/>
                    </w:rPr>
                    <w:t xml:space="preserve"> </w:t>
                  </w:r>
                </w:p>
                <w:p w:rsidR="00E92695" w:rsidRPr="00D50450" w:rsidRDefault="00571A46" w:rsidP="0050766D">
                  <w:pPr>
                    <w:framePr w:hSpace="180" w:wrap="around" w:vAnchor="text" w:hAnchor="text" w:x="-342" w:y="1"/>
                    <w:ind w:firstLine="67"/>
                    <w:suppressOverlap/>
                    <w:jc w:val="both"/>
                    <w:rPr>
                      <w:rFonts w:ascii="Calibri Light" w:hAnsi="Calibri Light" w:cs="Calibri Light"/>
                      <w:color w:val="000000" w:themeColor="text1"/>
                      <w:lang w:val="ro-RO"/>
                    </w:rPr>
                  </w:pPr>
                  <w:r>
                    <w:rPr>
                      <w:rFonts w:ascii="Calibri Light" w:hAnsi="Calibri Light" w:cs="Calibri Light"/>
                      <w:color w:val="000000" w:themeColor="text1"/>
                      <w:lang w:val="ro-RO"/>
                    </w:rPr>
                    <w:t>X. Date de contact</w:t>
                  </w:r>
                  <w:r w:rsidR="00E92695" w:rsidRPr="00D50450">
                    <w:rPr>
                      <w:rFonts w:ascii="Calibri Light" w:hAnsi="Calibri Light" w:cs="Calibri Light"/>
                      <w:color w:val="000000" w:themeColor="text1"/>
                      <w:lang w:val="ro-RO"/>
                    </w:rPr>
                    <w:t xml:space="preserve"> </w:t>
                  </w:r>
                </w:p>
                <w:p w:rsidR="00E92695" w:rsidRPr="00D50450" w:rsidRDefault="00E92695" w:rsidP="0050766D">
                  <w:pPr>
                    <w:framePr w:hSpace="180" w:wrap="around" w:vAnchor="text" w:hAnchor="text" w:x="-342" w:y="1"/>
                    <w:ind w:firstLine="67"/>
                    <w:suppressOverlap/>
                    <w:jc w:val="both"/>
                    <w:rPr>
                      <w:rFonts w:ascii="Calibri Light" w:hAnsi="Calibri Light" w:cs="Calibri Light"/>
                      <w:color w:val="000000" w:themeColor="text1"/>
                      <w:lang w:val="ro-RO"/>
                    </w:rPr>
                  </w:pPr>
                  <w:r w:rsidRPr="00D50450">
                    <w:rPr>
                      <w:rFonts w:ascii="Calibri Light" w:hAnsi="Calibri Light" w:cs="Calibri Light"/>
                      <w:color w:val="000000" w:themeColor="text1"/>
                      <w:lang w:val="ro-RO"/>
                    </w:rPr>
                    <w:t xml:space="preserve">XI. Site-uri web naționale selecționate pentru </w:t>
                  </w:r>
                  <w:r>
                    <w:rPr>
                      <w:rFonts w:ascii="Calibri Light" w:hAnsi="Calibri Light" w:cs="Calibri Light"/>
                      <w:color w:val="000000" w:themeColor="text1"/>
                      <w:lang w:val="ro-RO"/>
                    </w:rPr>
                    <w:t>angajaţii</w:t>
                  </w:r>
                  <w:r w:rsidR="00571A46">
                    <w:rPr>
                      <w:rFonts w:ascii="Calibri Light" w:hAnsi="Calibri Light" w:cs="Calibri Light"/>
                      <w:color w:val="000000" w:themeColor="text1"/>
                      <w:lang w:val="ro-RO"/>
                    </w:rPr>
                    <w:t xml:space="preserve"> detașați</w:t>
                  </w:r>
                  <w:r w:rsidRPr="00D50450">
                    <w:rPr>
                      <w:rFonts w:ascii="Calibri Light" w:hAnsi="Calibri Light" w:cs="Calibri Light"/>
                      <w:color w:val="000000" w:themeColor="text1"/>
                      <w:lang w:val="ro-RO"/>
                    </w:rPr>
                    <w:t xml:space="preserve"> </w:t>
                  </w:r>
                </w:p>
                <w:p w:rsidR="00E92695" w:rsidRDefault="00E92695" w:rsidP="0050766D">
                  <w:pPr>
                    <w:framePr w:hSpace="180" w:wrap="around" w:vAnchor="text" w:hAnchor="text" w:x="-342" w:y="1"/>
                    <w:suppressOverlap/>
                    <w:jc w:val="both"/>
                    <w:rPr>
                      <w:rFonts w:ascii="Calibri Light" w:hAnsi="Calibri Light" w:cs="Calibri Light"/>
                      <w:b/>
                      <w:color w:val="000000" w:themeColor="text1"/>
                      <w:lang w:val="ro-RO"/>
                    </w:rPr>
                  </w:pPr>
                </w:p>
              </w:tc>
              <w:tc>
                <w:tcPr>
                  <w:tcW w:w="854" w:type="dxa"/>
                </w:tcPr>
                <w:p w:rsidR="00E92695" w:rsidRDefault="00E92695" w:rsidP="0050766D">
                  <w:pPr>
                    <w:framePr w:hSpace="180" w:wrap="around" w:vAnchor="text" w:hAnchor="text" w:x="-342" w:y="1"/>
                    <w:suppressOverlap/>
                    <w:jc w:val="right"/>
                    <w:rPr>
                      <w:rFonts w:ascii="Calibri Light" w:hAnsi="Calibri Light" w:cs="Calibri Light"/>
                      <w:b/>
                      <w:color w:val="000000" w:themeColor="text1"/>
                      <w:lang w:val="ro-RO"/>
                    </w:rPr>
                  </w:pPr>
                  <w:r>
                    <w:rPr>
                      <w:rFonts w:ascii="Calibri Light" w:hAnsi="Calibri Light" w:cs="Calibri Light"/>
                      <w:b/>
                      <w:color w:val="000000" w:themeColor="text1"/>
                      <w:lang w:val="ro-RO"/>
                    </w:rPr>
                    <w:t>2</w:t>
                  </w:r>
                </w:p>
                <w:p w:rsidR="00E92695" w:rsidRDefault="00E92695" w:rsidP="0050766D">
                  <w:pPr>
                    <w:framePr w:hSpace="180" w:wrap="around" w:vAnchor="text" w:hAnchor="text" w:x="-342" w:y="1"/>
                    <w:suppressOverlap/>
                    <w:jc w:val="right"/>
                    <w:rPr>
                      <w:rFonts w:ascii="Calibri Light" w:hAnsi="Calibri Light" w:cs="Calibri Light"/>
                      <w:b/>
                      <w:color w:val="000000" w:themeColor="text1"/>
                      <w:lang w:val="ro-RO"/>
                    </w:rPr>
                  </w:pPr>
                  <w:r>
                    <w:rPr>
                      <w:rFonts w:ascii="Calibri Light" w:hAnsi="Calibri Light" w:cs="Calibri Light"/>
                      <w:b/>
                      <w:color w:val="000000" w:themeColor="text1"/>
                      <w:lang w:val="ro-RO"/>
                    </w:rPr>
                    <w:t>3</w:t>
                  </w:r>
                </w:p>
                <w:p w:rsidR="00E92695" w:rsidRDefault="00E92695" w:rsidP="0050766D">
                  <w:pPr>
                    <w:framePr w:hSpace="180" w:wrap="around" w:vAnchor="text" w:hAnchor="text" w:x="-342" w:y="1"/>
                    <w:suppressOverlap/>
                    <w:jc w:val="right"/>
                    <w:rPr>
                      <w:rFonts w:ascii="Calibri Light" w:hAnsi="Calibri Light" w:cs="Calibri Light"/>
                      <w:b/>
                      <w:color w:val="000000" w:themeColor="text1"/>
                      <w:lang w:val="ro-RO"/>
                    </w:rPr>
                  </w:pPr>
                  <w:r>
                    <w:rPr>
                      <w:rFonts w:ascii="Calibri Light" w:hAnsi="Calibri Light" w:cs="Calibri Light"/>
                      <w:b/>
                      <w:color w:val="000000" w:themeColor="text1"/>
                      <w:lang w:val="ro-RO"/>
                    </w:rPr>
                    <w:t>3</w:t>
                  </w:r>
                </w:p>
                <w:p w:rsidR="00E92695" w:rsidRDefault="00E92695" w:rsidP="0050766D">
                  <w:pPr>
                    <w:framePr w:hSpace="180" w:wrap="around" w:vAnchor="text" w:hAnchor="text" w:x="-342" w:y="1"/>
                    <w:suppressOverlap/>
                    <w:jc w:val="right"/>
                    <w:rPr>
                      <w:rFonts w:ascii="Calibri Light" w:hAnsi="Calibri Light" w:cs="Calibri Light"/>
                      <w:b/>
                      <w:color w:val="000000" w:themeColor="text1"/>
                      <w:lang w:val="ro-RO"/>
                    </w:rPr>
                  </w:pPr>
                  <w:r>
                    <w:rPr>
                      <w:rFonts w:ascii="Calibri Light" w:hAnsi="Calibri Light" w:cs="Calibri Light"/>
                      <w:b/>
                      <w:color w:val="000000" w:themeColor="text1"/>
                      <w:lang w:val="ro-RO"/>
                    </w:rPr>
                    <w:t>6</w:t>
                  </w:r>
                </w:p>
                <w:p w:rsidR="00E92695" w:rsidRDefault="00E92695" w:rsidP="0050766D">
                  <w:pPr>
                    <w:framePr w:hSpace="180" w:wrap="around" w:vAnchor="text" w:hAnchor="text" w:x="-342" w:y="1"/>
                    <w:suppressOverlap/>
                    <w:jc w:val="right"/>
                    <w:rPr>
                      <w:rFonts w:ascii="Calibri Light" w:hAnsi="Calibri Light" w:cs="Calibri Light"/>
                      <w:b/>
                      <w:color w:val="000000" w:themeColor="text1"/>
                      <w:lang w:val="ro-RO"/>
                    </w:rPr>
                  </w:pPr>
                  <w:r>
                    <w:rPr>
                      <w:rFonts w:ascii="Calibri Light" w:hAnsi="Calibri Light" w:cs="Calibri Light"/>
                      <w:b/>
                      <w:color w:val="000000" w:themeColor="text1"/>
                      <w:lang w:val="ro-RO"/>
                    </w:rPr>
                    <w:t>8</w:t>
                  </w:r>
                </w:p>
                <w:p w:rsidR="00E92695" w:rsidRDefault="00E92695" w:rsidP="0050766D">
                  <w:pPr>
                    <w:framePr w:hSpace="180" w:wrap="around" w:vAnchor="text" w:hAnchor="text" w:x="-342" w:y="1"/>
                    <w:suppressOverlap/>
                    <w:jc w:val="right"/>
                    <w:rPr>
                      <w:rFonts w:ascii="Calibri Light" w:hAnsi="Calibri Light" w:cs="Calibri Light"/>
                      <w:b/>
                      <w:color w:val="000000" w:themeColor="text1"/>
                      <w:lang w:val="ro-RO"/>
                    </w:rPr>
                  </w:pPr>
                  <w:r>
                    <w:rPr>
                      <w:rFonts w:ascii="Calibri Light" w:hAnsi="Calibri Light" w:cs="Calibri Light"/>
                      <w:b/>
                      <w:color w:val="000000" w:themeColor="text1"/>
                      <w:lang w:val="ro-RO"/>
                    </w:rPr>
                    <w:t>8</w:t>
                  </w:r>
                </w:p>
                <w:p w:rsidR="00E92695" w:rsidRDefault="00E92695" w:rsidP="0050766D">
                  <w:pPr>
                    <w:framePr w:hSpace="180" w:wrap="around" w:vAnchor="text" w:hAnchor="text" w:x="-342" w:y="1"/>
                    <w:suppressOverlap/>
                    <w:jc w:val="right"/>
                    <w:rPr>
                      <w:rFonts w:ascii="Calibri Light" w:hAnsi="Calibri Light" w:cs="Calibri Light"/>
                      <w:b/>
                      <w:color w:val="000000" w:themeColor="text1"/>
                      <w:lang w:val="ro-RO"/>
                    </w:rPr>
                  </w:pPr>
                  <w:r>
                    <w:rPr>
                      <w:rFonts w:ascii="Calibri Light" w:hAnsi="Calibri Light" w:cs="Calibri Light"/>
                      <w:b/>
                      <w:color w:val="000000" w:themeColor="text1"/>
                      <w:lang w:val="ro-RO"/>
                    </w:rPr>
                    <w:t>9</w:t>
                  </w:r>
                </w:p>
                <w:p w:rsidR="00E92695" w:rsidRDefault="00E92695" w:rsidP="0050766D">
                  <w:pPr>
                    <w:framePr w:hSpace="180" w:wrap="around" w:vAnchor="text" w:hAnchor="text" w:x="-342" w:y="1"/>
                    <w:suppressOverlap/>
                    <w:jc w:val="right"/>
                    <w:rPr>
                      <w:rFonts w:ascii="Calibri Light" w:hAnsi="Calibri Light" w:cs="Calibri Light"/>
                      <w:b/>
                      <w:color w:val="000000" w:themeColor="text1"/>
                      <w:lang w:val="ro-RO"/>
                    </w:rPr>
                  </w:pPr>
                  <w:r>
                    <w:rPr>
                      <w:rFonts w:ascii="Calibri Light" w:hAnsi="Calibri Light" w:cs="Calibri Light"/>
                      <w:b/>
                      <w:color w:val="000000" w:themeColor="text1"/>
                      <w:lang w:val="ro-RO"/>
                    </w:rPr>
                    <w:t>10</w:t>
                  </w:r>
                </w:p>
                <w:p w:rsidR="00E92695" w:rsidRDefault="00E92695" w:rsidP="0050766D">
                  <w:pPr>
                    <w:framePr w:hSpace="180" w:wrap="around" w:vAnchor="text" w:hAnchor="text" w:x="-342" w:y="1"/>
                    <w:suppressOverlap/>
                    <w:jc w:val="right"/>
                    <w:rPr>
                      <w:rFonts w:ascii="Calibri Light" w:hAnsi="Calibri Light" w:cs="Calibri Light"/>
                      <w:b/>
                      <w:color w:val="000000" w:themeColor="text1"/>
                      <w:lang w:val="ro-RO"/>
                    </w:rPr>
                  </w:pPr>
                  <w:r>
                    <w:rPr>
                      <w:rFonts w:ascii="Calibri Light" w:hAnsi="Calibri Light" w:cs="Calibri Light"/>
                      <w:b/>
                      <w:color w:val="000000" w:themeColor="text1"/>
                      <w:lang w:val="ro-RO"/>
                    </w:rPr>
                    <w:t>11</w:t>
                  </w:r>
                </w:p>
                <w:p w:rsidR="00E92695" w:rsidRDefault="00E92695" w:rsidP="0050766D">
                  <w:pPr>
                    <w:framePr w:hSpace="180" w:wrap="around" w:vAnchor="text" w:hAnchor="text" w:x="-342" w:y="1"/>
                    <w:suppressOverlap/>
                    <w:jc w:val="right"/>
                    <w:rPr>
                      <w:rFonts w:ascii="Calibri Light" w:hAnsi="Calibri Light" w:cs="Calibri Light"/>
                      <w:b/>
                      <w:color w:val="000000" w:themeColor="text1"/>
                      <w:lang w:val="ro-RO"/>
                    </w:rPr>
                  </w:pPr>
                  <w:r>
                    <w:rPr>
                      <w:rFonts w:ascii="Calibri Light" w:hAnsi="Calibri Light" w:cs="Calibri Light"/>
                      <w:b/>
                      <w:color w:val="000000" w:themeColor="text1"/>
                      <w:lang w:val="ro-RO"/>
                    </w:rPr>
                    <w:t>13</w:t>
                  </w:r>
                </w:p>
                <w:p w:rsidR="00E92695" w:rsidRDefault="00E92695" w:rsidP="0050766D">
                  <w:pPr>
                    <w:framePr w:hSpace="180" w:wrap="around" w:vAnchor="text" w:hAnchor="text" w:x="-342" w:y="1"/>
                    <w:suppressOverlap/>
                    <w:jc w:val="right"/>
                    <w:rPr>
                      <w:rFonts w:ascii="Calibri Light" w:hAnsi="Calibri Light" w:cs="Calibri Light"/>
                      <w:b/>
                      <w:color w:val="000000" w:themeColor="text1"/>
                      <w:lang w:val="ro-RO"/>
                    </w:rPr>
                  </w:pPr>
                  <w:r>
                    <w:rPr>
                      <w:rFonts w:ascii="Calibri Light" w:hAnsi="Calibri Light" w:cs="Calibri Light"/>
                      <w:b/>
                      <w:color w:val="000000" w:themeColor="text1"/>
                      <w:lang w:val="ro-RO"/>
                    </w:rPr>
                    <w:t>14</w:t>
                  </w:r>
                </w:p>
              </w:tc>
            </w:tr>
          </w:tbl>
          <w:p w:rsidR="0075080C" w:rsidRDefault="0075080C" w:rsidP="004449C1">
            <w:pPr>
              <w:ind w:firstLine="708"/>
              <w:jc w:val="both"/>
              <w:rPr>
                <w:rFonts w:ascii="Calibri Light" w:hAnsi="Calibri Light" w:cs="Calibri Light"/>
                <w:b/>
                <w:color w:val="000000" w:themeColor="text1"/>
                <w:lang w:val="ro-RO"/>
              </w:rPr>
            </w:pPr>
          </w:p>
          <w:p w:rsidR="0075080C" w:rsidRPr="00D50450" w:rsidRDefault="0075080C" w:rsidP="004449C1">
            <w:pPr>
              <w:ind w:firstLine="708"/>
              <w:jc w:val="both"/>
              <w:rPr>
                <w:rFonts w:ascii="Calibri Light" w:hAnsi="Calibri Light" w:cs="Calibri Light"/>
                <w:b/>
                <w:color w:val="000000" w:themeColor="text1"/>
                <w:lang w:val="ro-RO"/>
              </w:rPr>
            </w:pPr>
          </w:p>
          <w:p w:rsidR="004449C1" w:rsidRPr="00D50450" w:rsidRDefault="004449C1" w:rsidP="004449C1">
            <w:pPr>
              <w:ind w:firstLine="708"/>
              <w:jc w:val="both"/>
              <w:rPr>
                <w:rFonts w:ascii="Calibri Light" w:hAnsi="Calibri Light" w:cs="Calibri Light"/>
                <w:color w:val="000000" w:themeColor="text1"/>
                <w:lang w:val="ro-RO"/>
              </w:rPr>
            </w:pPr>
          </w:p>
          <w:p w:rsidR="004449C1" w:rsidRPr="00D50450" w:rsidRDefault="0075080C" w:rsidP="0075080C">
            <w:pPr>
              <w:tabs>
                <w:tab w:val="left" w:pos="1164"/>
              </w:tabs>
              <w:ind w:firstLine="708"/>
              <w:jc w:val="both"/>
              <w:rPr>
                <w:rFonts w:ascii="Calibri Light" w:hAnsi="Calibri Light" w:cs="Calibri Light"/>
                <w:color w:val="000000" w:themeColor="text1"/>
                <w:lang w:val="ro-RO"/>
              </w:rPr>
            </w:pPr>
            <w:r>
              <w:rPr>
                <w:rFonts w:ascii="Calibri Light" w:hAnsi="Calibri Light" w:cs="Calibri Light"/>
                <w:color w:val="000000" w:themeColor="text1"/>
                <w:lang w:val="ro-RO"/>
              </w:rPr>
              <w:tab/>
            </w:r>
          </w:p>
          <w:p w:rsidR="004449C1" w:rsidRPr="00D50450" w:rsidRDefault="004449C1" w:rsidP="004449C1">
            <w:pPr>
              <w:ind w:firstLine="708"/>
              <w:jc w:val="both"/>
              <w:rPr>
                <w:rFonts w:ascii="Calibri Light" w:hAnsi="Calibri Light" w:cs="Calibri Light"/>
                <w:color w:val="000000" w:themeColor="text1"/>
                <w:lang w:val="ro-RO"/>
              </w:rPr>
            </w:pPr>
          </w:p>
          <w:p w:rsidR="004449C1" w:rsidRPr="00D50450" w:rsidRDefault="004449C1" w:rsidP="004449C1">
            <w:pPr>
              <w:ind w:firstLine="708"/>
              <w:jc w:val="both"/>
              <w:rPr>
                <w:rFonts w:ascii="Calibri Light" w:hAnsi="Calibri Light" w:cs="Calibri Light"/>
                <w:color w:val="000000" w:themeColor="text1"/>
                <w:lang w:val="ro-RO"/>
              </w:rPr>
            </w:pPr>
          </w:p>
          <w:p w:rsidR="004449C1" w:rsidRPr="00D50450" w:rsidRDefault="004449C1" w:rsidP="004449C1">
            <w:pPr>
              <w:ind w:firstLine="708"/>
              <w:jc w:val="both"/>
              <w:rPr>
                <w:lang w:val="ro-RO"/>
              </w:rPr>
            </w:pPr>
          </w:p>
        </w:tc>
      </w:tr>
    </w:tbl>
    <w:p w:rsidR="008B6570" w:rsidRPr="00081007" w:rsidRDefault="00081007" w:rsidP="00564FC2">
      <w:pPr>
        <w:tabs>
          <w:tab w:val="left" w:pos="8268"/>
        </w:tabs>
        <w:rPr>
          <w:rFonts w:ascii="Calibri Light" w:hAnsi="Calibri Light" w:cs="Calibri Light"/>
          <w:b/>
          <w:color w:val="1F497D" w:themeColor="text2"/>
          <w:sz w:val="24"/>
          <w:szCs w:val="24"/>
          <w:lang w:val="ro-RO"/>
        </w:rPr>
      </w:pPr>
      <w:r>
        <w:rPr>
          <w:rFonts w:ascii="Calibri Light" w:hAnsi="Calibri Light" w:cs="Calibri Light"/>
          <w:b/>
          <w:color w:val="1F497D" w:themeColor="text2"/>
          <w:sz w:val="24"/>
          <w:szCs w:val="24"/>
          <w:lang w:val="ro-RO"/>
        </w:rPr>
        <w:lastRenderedPageBreak/>
        <w:br w:type="textWrapping" w:clear="all"/>
      </w:r>
    </w:p>
    <w:sectPr w:rsidR="008B6570" w:rsidRPr="00081007" w:rsidSect="00B672CD">
      <w:footerReference w:type="default" r:id="rId1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D71" w:rsidRDefault="00AB6D71" w:rsidP="00730747">
      <w:pPr>
        <w:spacing w:after="0" w:line="240" w:lineRule="auto"/>
      </w:pPr>
      <w:r>
        <w:separator/>
      </w:r>
    </w:p>
  </w:endnote>
  <w:endnote w:type="continuationSeparator" w:id="0">
    <w:p w:rsidR="00AB6D71" w:rsidRDefault="00AB6D71" w:rsidP="00730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32115"/>
      <w:docPartObj>
        <w:docPartGallery w:val="Page Numbers (Bottom of Page)"/>
        <w:docPartUnique/>
      </w:docPartObj>
    </w:sdtPr>
    <w:sdtEndPr>
      <w:rPr>
        <w:noProof/>
      </w:rPr>
    </w:sdtEndPr>
    <w:sdtContent>
      <w:p w:rsidR="00EE35FD" w:rsidRDefault="00EE35FD">
        <w:pPr>
          <w:pStyle w:val="Footer"/>
          <w:jc w:val="center"/>
        </w:pPr>
        <w:r>
          <w:fldChar w:fldCharType="begin"/>
        </w:r>
        <w:r>
          <w:instrText xml:space="preserve"> PAGE   \* MERGEFORMAT </w:instrText>
        </w:r>
        <w:r>
          <w:fldChar w:fldCharType="separate"/>
        </w:r>
        <w:r w:rsidR="00363626">
          <w:rPr>
            <w:noProof/>
          </w:rPr>
          <w:t>14</w:t>
        </w:r>
        <w:r>
          <w:rPr>
            <w:noProof/>
          </w:rPr>
          <w:fldChar w:fldCharType="end"/>
        </w:r>
      </w:p>
    </w:sdtContent>
  </w:sdt>
  <w:p w:rsidR="00ED3B3B" w:rsidRDefault="00ED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D71" w:rsidRDefault="00AB6D71" w:rsidP="00730747">
      <w:pPr>
        <w:spacing w:after="0" w:line="240" w:lineRule="auto"/>
      </w:pPr>
      <w:r>
        <w:separator/>
      </w:r>
    </w:p>
  </w:footnote>
  <w:footnote w:type="continuationSeparator" w:id="0">
    <w:p w:rsidR="00AB6D71" w:rsidRDefault="00AB6D71" w:rsidP="00730747">
      <w:pPr>
        <w:spacing w:after="0" w:line="240" w:lineRule="auto"/>
      </w:pPr>
      <w:r>
        <w:continuationSeparator/>
      </w:r>
    </w:p>
  </w:footnote>
  <w:footnote w:id="1">
    <w:p w:rsidR="004449C1" w:rsidRPr="00F845EC" w:rsidRDefault="004449C1" w:rsidP="00F845EC">
      <w:pPr>
        <w:pStyle w:val="FootnoteText"/>
        <w:jc w:val="both"/>
        <w:rPr>
          <w:lang w:val="es-ES_tradnl"/>
        </w:rPr>
      </w:pPr>
      <w:r w:rsidRPr="00F845EC">
        <w:rPr>
          <w:rStyle w:val="FootnoteReference"/>
          <w:lang w:val="en"/>
        </w:rPr>
        <w:footnoteRef/>
      </w:r>
      <w:r w:rsidR="00F845EC" w:rsidRPr="00F845EC">
        <w:rPr>
          <w:lang w:val="es-ES_tradnl"/>
        </w:rPr>
        <w:t xml:space="preserve"> Directiva a </w:t>
      </w:r>
      <w:proofErr w:type="spellStart"/>
      <w:r w:rsidR="00F845EC" w:rsidRPr="00F845EC">
        <w:rPr>
          <w:lang w:val="es-ES_tradnl"/>
        </w:rPr>
        <w:t>fost</w:t>
      </w:r>
      <w:proofErr w:type="spellEnd"/>
      <w:r w:rsidR="00F845EC" w:rsidRPr="00F845EC">
        <w:rPr>
          <w:lang w:val="es-ES_tradnl"/>
        </w:rPr>
        <w:t xml:space="preserve"> </w:t>
      </w:r>
      <w:proofErr w:type="spellStart"/>
      <w:r w:rsidR="00F845EC" w:rsidRPr="00F845EC">
        <w:rPr>
          <w:lang w:val="es-ES_tradnl"/>
        </w:rPr>
        <w:t>adoptată</w:t>
      </w:r>
      <w:proofErr w:type="spellEnd"/>
      <w:r w:rsidR="00F845EC" w:rsidRPr="00F845EC">
        <w:rPr>
          <w:lang w:val="es-ES_tradnl"/>
        </w:rPr>
        <w:t xml:space="preserve"> pe 16 </w:t>
      </w:r>
      <w:proofErr w:type="spellStart"/>
      <w:r w:rsidR="00F845EC" w:rsidRPr="00F845EC">
        <w:rPr>
          <w:lang w:val="es-ES_tradnl"/>
        </w:rPr>
        <w:t>decembrie</w:t>
      </w:r>
      <w:proofErr w:type="spellEnd"/>
      <w:r w:rsidRPr="00F845EC">
        <w:rPr>
          <w:lang w:val="es-ES_tradnl"/>
        </w:rPr>
        <w:t xml:space="preserve"> 1996; </w:t>
      </w:r>
      <w:proofErr w:type="spellStart"/>
      <w:r w:rsidR="00F845EC" w:rsidRPr="00F845EC">
        <w:rPr>
          <w:lang w:val="es-ES_tradnl"/>
        </w:rPr>
        <w:t>Monitorul</w:t>
      </w:r>
      <w:proofErr w:type="spellEnd"/>
      <w:r w:rsidR="00F845EC" w:rsidRPr="00F845EC">
        <w:rPr>
          <w:lang w:val="es-ES_tradnl"/>
        </w:rPr>
        <w:t xml:space="preserve"> Oficial al </w:t>
      </w:r>
      <w:proofErr w:type="spellStart"/>
      <w:r w:rsidR="00F845EC" w:rsidRPr="00F845EC">
        <w:rPr>
          <w:lang w:val="es-ES_tradnl"/>
        </w:rPr>
        <w:t>Uniunii</w:t>
      </w:r>
      <w:proofErr w:type="spellEnd"/>
      <w:r w:rsidR="00F845EC" w:rsidRPr="00F845EC">
        <w:rPr>
          <w:lang w:val="es-ES_tradnl"/>
        </w:rPr>
        <w:t xml:space="preserve"> </w:t>
      </w:r>
      <w:proofErr w:type="spellStart"/>
      <w:r w:rsidR="00F845EC" w:rsidRPr="00F845EC">
        <w:rPr>
          <w:lang w:val="es-ES_tradnl"/>
        </w:rPr>
        <w:t>Europene</w:t>
      </w:r>
      <w:proofErr w:type="spellEnd"/>
      <w:r w:rsidR="00F845EC" w:rsidRPr="00F845EC">
        <w:rPr>
          <w:lang w:val="es-ES_tradnl"/>
        </w:rPr>
        <w:t xml:space="preserve"> din data de</w:t>
      </w:r>
      <w:r w:rsidRPr="00F845EC">
        <w:rPr>
          <w:lang w:val="es-ES_tradnl"/>
        </w:rPr>
        <w:t xml:space="preserve"> 21 </w:t>
      </w:r>
      <w:proofErr w:type="spellStart"/>
      <w:r w:rsidR="00F845EC" w:rsidRPr="00F845EC">
        <w:rPr>
          <w:lang w:val="es-ES_tradnl"/>
        </w:rPr>
        <w:t>Ianuarie</w:t>
      </w:r>
      <w:proofErr w:type="spellEnd"/>
      <w:r w:rsidRPr="00F845EC">
        <w:rPr>
          <w:lang w:val="es-ES_tradnl"/>
        </w:rPr>
        <w:t xml:space="preserve"> 1997.</w:t>
      </w:r>
    </w:p>
  </w:footnote>
  <w:footnote w:id="2">
    <w:p w:rsidR="004449C1" w:rsidRPr="00BD3788" w:rsidRDefault="004449C1" w:rsidP="000B05DF">
      <w:pPr>
        <w:pStyle w:val="FootnoteText"/>
        <w:jc w:val="both"/>
        <w:rPr>
          <w:color w:val="FF0000"/>
        </w:rPr>
      </w:pPr>
      <w:r w:rsidRPr="00592698">
        <w:rPr>
          <w:rStyle w:val="FootnoteReference"/>
          <w:lang w:val="en"/>
        </w:rPr>
        <w:footnoteRef/>
      </w:r>
      <w:r w:rsidRPr="00592698">
        <w:t xml:space="preserve"> M. Benio, O przewadze konkurencyjnej Polski na wewnętrznym rynku Unii, o delegowaniu pracowników i swobodzie świadczenia usług w UE, „Zarządzanie Publiczne” 2013, No. 1(23), p. 116.</w:t>
      </w:r>
    </w:p>
  </w:footnote>
  <w:footnote w:id="3">
    <w:p w:rsidR="004449C1" w:rsidRPr="00592698" w:rsidRDefault="004449C1" w:rsidP="00DD60E7">
      <w:pPr>
        <w:pStyle w:val="FootnoteText"/>
      </w:pPr>
      <w:r w:rsidRPr="00592698">
        <w:rPr>
          <w:rStyle w:val="FootnoteReference"/>
          <w:lang w:val="en"/>
        </w:rPr>
        <w:footnoteRef/>
      </w:r>
      <w:r w:rsidRPr="00592698">
        <w:t xml:space="preserve"> OJ L 166, 30.4.2004</w:t>
      </w:r>
    </w:p>
  </w:footnote>
  <w:footnote w:id="4">
    <w:p w:rsidR="004449C1" w:rsidRPr="00BD3788" w:rsidRDefault="004449C1" w:rsidP="00CB0EC5">
      <w:pPr>
        <w:pStyle w:val="FootnoteText"/>
        <w:rPr>
          <w:color w:val="FF0000"/>
        </w:rPr>
      </w:pPr>
      <w:r w:rsidRPr="00592698">
        <w:rPr>
          <w:rStyle w:val="FootnoteReference"/>
          <w:lang w:val="en"/>
        </w:rPr>
        <w:footnoteRef/>
      </w:r>
      <w:r w:rsidRPr="00592698">
        <w:t xml:space="preserve"> OJ L 284, 30.10.2009</w:t>
      </w:r>
    </w:p>
  </w:footnote>
  <w:footnote w:id="5">
    <w:p w:rsidR="004449C1" w:rsidRPr="00BD3788" w:rsidRDefault="004449C1" w:rsidP="00AD5767">
      <w:pPr>
        <w:pStyle w:val="FootnoteText"/>
        <w:rPr>
          <w:color w:val="FF0000"/>
        </w:rPr>
      </w:pPr>
      <w:r w:rsidRPr="00592698">
        <w:rPr>
          <w:rStyle w:val="FootnoteReference"/>
          <w:lang w:val="en"/>
        </w:rPr>
        <w:footnoteRef/>
      </w:r>
      <w:r w:rsidRPr="00592698">
        <w:t xml:space="preserve"> http://europa.eu/rapid/press-release_MEMO-16-467_pl.htm</w:t>
      </w:r>
    </w:p>
  </w:footnote>
  <w:footnote w:id="6">
    <w:p w:rsidR="004449C1" w:rsidRPr="00592698" w:rsidRDefault="004449C1" w:rsidP="0071109F">
      <w:pPr>
        <w:pStyle w:val="FootnoteText"/>
        <w:rPr>
          <w:lang w:val="es-ES_tradnl"/>
        </w:rPr>
      </w:pPr>
      <w:r>
        <w:rPr>
          <w:rStyle w:val="FootnoteReference"/>
          <w:lang w:val="en"/>
        </w:rPr>
        <w:footnoteRef/>
      </w:r>
      <w:r w:rsidR="00592698" w:rsidRPr="00592698">
        <w:rPr>
          <w:lang w:val="es-ES_tradnl"/>
        </w:rPr>
        <w:t>Pe baza</w:t>
      </w:r>
      <w:r w:rsidRPr="00592698">
        <w:rPr>
          <w:lang w:val="es-ES_tradnl"/>
        </w:rPr>
        <w:t>: https://europa.eu/youreurope/citizens/work/work-abroad/posted-workers/index_en.htm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8E2"/>
    <w:multiLevelType w:val="hybridMultilevel"/>
    <w:tmpl w:val="74347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2B3298"/>
    <w:multiLevelType w:val="hybridMultilevel"/>
    <w:tmpl w:val="721E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D739E"/>
    <w:multiLevelType w:val="hybridMultilevel"/>
    <w:tmpl w:val="9AC4F35C"/>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 w15:restartNumberingAfterBreak="0">
    <w:nsid w:val="064C4626"/>
    <w:multiLevelType w:val="hybridMultilevel"/>
    <w:tmpl w:val="1B42FB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911FED"/>
    <w:multiLevelType w:val="hybridMultilevel"/>
    <w:tmpl w:val="11600F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A14996"/>
    <w:multiLevelType w:val="hybridMultilevel"/>
    <w:tmpl w:val="7242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F2188"/>
    <w:multiLevelType w:val="hybridMultilevel"/>
    <w:tmpl w:val="52ECA7D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3CB05F3"/>
    <w:multiLevelType w:val="hybridMultilevel"/>
    <w:tmpl w:val="F8DCA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7736A"/>
    <w:multiLevelType w:val="hybridMultilevel"/>
    <w:tmpl w:val="151C50A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A5264F9"/>
    <w:multiLevelType w:val="hybridMultilevel"/>
    <w:tmpl w:val="ED2C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5782C"/>
    <w:multiLevelType w:val="hybridMultilevel"/>
    <w:tmpl w:val="006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74ADD"/>
    <w:multiLevelType w:val="hybridMultilevel"/>
    <w:tmpl w:val="93A23060"/>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2" w15:restartNumberingAfterBreak="0">
    <w:nsid w:val="26733ED3"/>
    <w:multiLevelType w:val="hybridMultilevel"/>
    <w:tmpl w:val="E72E5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A16A0"/>
    <w:multiLevelType w:val="hybridMultilevel"/>
    <w:tmpl w:val="5E0663B0"/>
    <w:lvl w:ilvl="0" w:tplc="60200A7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B01D5F"/>
    <w:multiLevelType w:val="hybridMultilevel"/>
    <w:tmpl w:val="F784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4A4A1B"/>
    <w:multiLevelType w:val="hybridMultilevel"/>
    <w:tmpl w:val="81E24A9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39CC0442"/>
    <w:multiLevelType w:val="hybridMultilevel"/>
    <w:tmpl w:val="EA9CF2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E591738"/>
    <w:multiLevelType w:val="hybridMultilevel"/>
    <w:tmpl w:val="0414C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2E75136"/>
    <w:multiLevelType w:val="hybridMultilevel"/>
    <w:tmpl w:val="91FC0E0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4A71156F"/>
    <w:multiLevelType w:val="hybridMultilevel"/>
    <w:tmpl w:val="E58823B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B6B0C09"/>
    <w:multiLevelType w:val="hybridMultilevel"/>
    <w:tmpl w:val="DFE4D44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D5613AE"/>
    <w:multiLevelType w:val="hybridMultilevel"/>
    <w:tmpl w:val="61C8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4633D5"/>
    <w:multiLevelType w:val="hybridMultilevel"/>
    <w:tmpl w:val="770A2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0F5D3E"/>
    <w:multiLevelType w:val="hybridMultilevel"/>
    <w:tmpl w:val="AF28F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B0FAD"/>
    <w:multiLevelType w:val="hybridMultilevel"/>
    <w:tmpl w:val="2A7AD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B1271"/>
    <w:multiLevelType w:val="hybridMultilevel"/>
    <w:tmpl w:val="4EE28D2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26" w15:restartNumberingAfterBreak="0">
    <w:nsid w:val="64E0349A"/>
    <w:multiLevelType w:val="hybridMultilevel"/>
    <w:tmpl w:val="C53AE1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E21F60"/>
    <w:multiLevelType w:val="hybridMultilevel"/>
    <w:tmpl w:val="F6360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14315"/>
    <w:multiLevelType w:val="hybridMultilevel"/>
    <w:tmpl w:val="8FB0BEC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72671D5A"/>
    <w:multiLevelType w:val="hybridMultilevel"/>
    <w:tmpl w:val="31A4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718ED"/>
    <w:multiLevelType w:val="hybridMultilevel"/>
    <w:tmpl w:val="C4322A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DA74D06"/>
    <w:multiLevelType w:val="hybridMultilevel"/>
    <w:tmpl w:val="3CC6F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FA24E48"/>
    <w:multiLevelType w:val="hybridMultilevel"/>
    <w:tmpl w:val="EF0078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0"/>
  </w:num>
  <w:num w:numId="2">
    <w:abstractNumId w:val="13"/>
  </w:num>
  <w:num w:numId="3">
    <w:abstractNumId w:val="0"/>
  </w:num>
  <w:num w:numId="4">
    <w:abstractNumId w:val="31"/>
  </w:num>
  <w:num w:numId="5">
    <w:abstractNumId w:val="25"/>
  </w:num>
  <w:num w:numId="6">
    <w:abstractNumId w:val="19"/>
  </w:num>
  <w:num w:numId="7">
    <w:abstractNumId w:val="6"/>
  </w:num>
  <w:num w:numId="8">
    <w:abstractNumId w:val="11"/>
  </w:num>
  <w:num w:numId="9">
    <w:abstractNumId w:val="32"/>
  </w:num>
  <w:num w:numId="10">
    <w:abstractNumId w:val="26"/>
  </w:num>
  <w:num w:numId="11">
    <w:abstractNumId w:val="28"/>
  </w:num>
  <w:num w:numId="12">
    <w:abstractNumId w:val="17"/>
  </w:num>
  <w:num w:numId="13">
    <w:abstractNumId w:val="3"/>
  </w:num>
  <w:num w:numId="14">
    <w:abstractNumId w:val="2"/>
  </w:num>
  <w:num w:numId="15">
    <w:abstractNumId w:val="16"/>
  </w:num>
  <w:num w:numId="16">
    <w:abstractNumId w:val="18"/>
  </w:num>
  <w:num w:numId="17">
    <w:abstractNumId w:val="20"/>
  </w:num>
  <w:num w:numId="18">
    <w:abstractNumId w:val="8"/>
  </w:num>
  <w:num w:numId="19">
    <w:abstractNumId w:val="15"/>
  </w:num>
  <w:num w:numId="20">
    <w:abstractNumId w:val="23"/>
  </w:num>
  <w:num w:numId="21">
    <w:abstractNumId w:val="7"/>
  </w:num>
  <w:num w:numId="22">
    <w:abstractNumId w:val="12"/>
  </w:num>
  <w:num w:numId="23">
    <w:abstractNumId w:val="22"/>
  </w:num>
  <w:num w:numId="24">
    <w:abstractNumId w:val="21"/>
  </w:num>
  <w:num w:numId="25">
    <w:abstractNumId w:val="27"/>
  </w:num>
  <w:num w:numId="26">
    <w:abstractNumId w:val="10"/>
  </w:num>
  <w:num w:numId="27">
    <w:abstractNumId w:val="9"/>
  </w:num>
  <w:num w:numId="28">
    <w:abstractNumId w:val="4"/>
  </w:num>
  <w:num w:numId="29">
    <w:abstractNumId w:val="1"/>
  </w:num>
  <w:num w:numId="30">
    <w:abstractNumId w:val="5"/>
  </w:num>
  <w:num w:numId="31">
    <w:abstractNumId w:val="14"/>
  </w:num>
  <w:num w:numId="32">
    <w:abstractNumId w:val="24"/>
  </w:num>
  <w:num w:numId="33">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6A"/>
    <w:rsid w:val="00001722"/>
    <w:rsid w:val="00002E49"/>
    <w:rsid w:val="000039E1"/>
    <w:rsid w:val="00010247"/>
    <w:rsid w:val="0001498C"/>
    <w:rsid w:val="00015963"/>
    <w:rsid w:val="000169B3"/>
    <w:rsid w:val="00016A6A"/>
    <w:rsid w:val="00030199"/>
    <w:rsid w:val="00030F07"/>
    <w:rsid w:val="00034EF1"/>
    <w:rsid w:val="00035253"/>
    <w:rsid w:val="00041351"/>
    <w:rsid w:val="00041EDA"/>
    <w:rsid w:val="000426C5"/>
    <w:rsid w:val="00044C5D"/>
    <w:rsid w:val="00044CE9"/>
    <w:rsid w:val="00047090"/>
    <w:rsid w:val="00050384"/>
    <w:rsid w:val="0005288D"/>
    <w:rsid w:val="0005436F"/>
    <w:rsid w:val="000607A8"/>
    <w:rsid w:val="00061D07"/>
    <w:rsid w:val="000642F4"/>
    <w:rsid w:val="00065E71"/>
    <w:rsid w:val="00070C4D"/>
    <w:rsid w:val="00071A32"/>
    <w:rsid w:val="00073D17"/>
    <w:rsid w:val="00073E8C"/>
    <w:rsid w:val="00074026"/>
    <w:rsid w:val="00074685"/>
    <w:rsid w:val="00076779"/>
    <w:rsid w:val="000771C6"/>
    <w:rsid w:val="0007780C"/>
    <w:rsid w:val="000808C9"/>
    <w:rsid w:val="0008090B"/>
    <w:rsid w:val="00081007"/>
    <w:rsid w:val="00081AF3"/>
    <w:rsid w:val="000832E9"/>
    <w:rsid w:val="00086AA0"/>
    <w:rsid w:val="00087FE0"/>
    <w:rsid w:val="000A4CA0"/>
    <w:rsid w:val="000B05DF"/>
    <w:rsid w:val="000B0B87"/>
    <w:rsid w:val="000B13EB"/>
    <w:rsid w:val="000B2A2A"/>
    <w:rsid w:val="000B4C6D"/>
    <w:rsid w:val="000B5C81"/>
    <w:rsid w:val="000B5D85"/>
    <w:rsid w:val="000B7907"/>
    <w:rsid w:val="000C0DA9"/>
    <w:rsid w:val="000C32B7"/>
    <w:rsid w:val="000C6C5C"/>
    <w:rsid w:val="000C7354"/>
    <w:rsid w:val="000D1F66"/>
    <w:rsid w:val="000D23A9"/>
    <w:rsid w:val="000D3DE6"/>
    <w:rsid w:val="000D4CDA"/>
    <w:rsid w:val="000E0215"/>
    <w:rsid w:val="000E1016"/>
    <w:rsid w:val="000E336F"/>
    <w:rsid w:val="000F20AB"/>
    <w:rsid w:val="000F31C5"/>
    <w:rsid w:val="000F3C16"/>
    <w:rsid w:val="000F5DAD"/>
    <w:rsid w:val="00100E08"/>
    <w:rsid w:val="0010193C"/>
    <w:rsid w:val="00106049"/>
    <w:rsid w:val="00110D1D"/>
    <w:rsid w:val="00111910"/>
    <w:rsid w:val="00111B72"/>
    <w:rsid w:val="001127A7"/>
    <w:rsid w:val="00112D69"/>
    <w:rsid w:val="0011351D"/>
    <w:rsid w:val="00113FCC"/>
    <w:rsid w:val="00113FD2"/>
    <w:rsid w:val="00114BC2"/>
    <w:rsid w:val="001174BE"/>
    <w:rsid w:val="00117E96"/>
    <w:rsid w:val="001200DF"/>
    <w:rsid w:val="001206DF"/>
    <w:rsid w:val="00122277"/>
    <w:rsid w:val="00125B95"/>
    <w:rsid w:val="00130A32"/>
    <w:rsid w:val="001337C2"/>
    <w:rsid w:val="0013576A"/>
    <w:rsid w:val="00136934"/>
    <w:rsid w:val="00140A58"/>
    <w:rsid w:val="00143482"/>
    <w:rsid w:val="00143CF9"/>
    <w:rsid w:val="00144536"/>
    <w:rsid w:val="0014612D"/>
    <w:rsid w:val="0014620B"/>
    <w:rsid w:val="001462A6"/>
    <w:rsid w:val="00146EE4"/>
    <w:rsid w:val="00151144"/>
    <w:rsid w:val="0015169E"/>
    <w:rsid w:val="001517AD"/>
    <w:rsid w:val="00153E3B"/>
    <w:rsid w:val="001546DF"/>
    <w:rsid w:val="00155DEE"/>
    <w:rsid w:val="00160755"/>
    <w:rsid w:val="00160C68"/>
    <w:rsid w:val="00160DB8"/>
    <w:rsid w:val="0016333C"/>
    <w:rsid w:val="00163DDE"/>
    <w:rsid w:val="001642D9"/>
    <w:rsid w:val="00164B0A"/>
    <w:rsid w:val="00164B39"/>
    <w:rsid w:val="00172241"/>
    <w:rsid w:val="00174D3C"/>
    <w:rsid w:val="00177287"/>
    <w:rsid w:val="00184B44"/>
    <w:rsid w:val="0018693E"/>
    <w:rsid w:val="00190115"/>
    <w:rsid w:val="00193C93"/>
    <w:rsid w:val="001955D8"/>
    <w:rsid w:val="001958CB"/>
    <w:rsid w:val="001A26C2"/>
    <w:rsid w:val="001A3228"/>
    <w:rsid w:val="001A5898"/>
    <w:rsid w:val="001A740C"/>
    <w:rsid w:val="001B126E"/>
    <w:rsid w:val="001B4C43"/>
    <w:rsid w:val="001B61D8"/>
    <w:rsid w:val="001B6647"/>
    <w:rsid w:val="001B75FA"/>
    <w:rsid w:val="001C11A4"/>
    <w:rsid w:val="001C2052"/>
    <w:rsid w:val="001C2E89"/>
    <w:rsid w:val="001C2F9B"/>
    <w:rsid w:val="001C5ADA"/>
    <w:rsid w:val="001C624F"/>
    <w:rsid w:val="001D3873"/>
    <w:rsid w:val="001D3CF7"/>
    <w:rsid w:val="001D78A1"/>
    <w:rsid w:val="001E09AC"/>
    <w:rsid w:val="001E0AC5"/>
    <w:rsid w:val="001E0F61"/>
    <w:rsid w:val="001E1E48"/>
    <w:rsid w:val="001E224E"/>
    <w:rsid w:val="001E2C72"/>
    <w:rsid w:val="001E7038"/>
    <w:rsid w:val="001E7ABA"/>
    <w:rsid w:val="001E7B71"/>
    <w:rsid w:val="001E7FE9"/>
    <w:rsid w:val="001F23CE"/>
    <w:rsid w:val="001F722B"/>
    <w:rsid w:val="00200795"/>
    <w:rsid w:val="00202D89"/>
    <w:rsid w:val="0020722C"/>
    <w:rsid w:val="00211CBA"/>
    <w:rsid w:val="00212354"/>
    <w:rsid w:val="00213C88"/>
    <w:rsid w:val="00220DF0"/>
    <w:rsid w:val="002215F9"/>
    <w:rsid w:val="00222566"/>
    <w:rsid w:val="002245B9"/>
    <w:rsid w:val="00225569"/>
    <w:rsid w:val="002303D1"/>
    <w:rsid w:val="00230997"/>
    <w:rsid w:val="00230D05"/>
    <w:rsid w:val="00231654"/>
    <w:rsid w:val="00236A49"/>
    <w:rsid w:val="0024160A"/>
    <w:rsid w:val="00242AC2"/>
    <w:rsid w:val="00242EA1"/>
    <w:rsid w:val="00246BE9"/>
    <w:rsid w:val="002473BD"/>
    <w:rsid w:val="002504DA"/>
    <w:rsid w:val="002505E1"/>
    <w:rsid w:val="00253B7E"/>
    <w:rsid w:val="002567F4"/>
    <w:rsid w:val="00257392"/>
    <w:rsid w:val="00257A25"/>
    <w:rsid w:val="00257B0D"/>
    <w:rsid w:val="0026275F"/>
    <w:rsid w:val="00265964"/>
    <w:rsid w:val="00265FAA"/>
    <w:rsid w:val="00272BDC"/>
    <w:rsid w:val="00274409"/>
    <w:rsid w:val="00275065"/>
    <w:rsid w:val="002778D5"/>
    <w:rsid w:val="00281706"/>
    <w:rsid w:val="00283A8A"/>
    <w:rsid w:val="00283E97"/>
    <w:rsid w:val="0028623F"/>
    <w:rsid w:val="002868FF"/>
    <w:rsid w:val="00286B60"/>
    <w:rsid w:val="00290F82"/>
    <w:rsid w:val="00292C9E"/>
    <w:rsid w:val="002936B4"/>
    <w:rsid w:val="0029619E"/>
    <w:rsid w:val="00297EFA"/>
    <w:rsid w:val="002A4C5D"/>
    <w:rsid w:val="002A5083"/>
    <w:rsid w:val="002A6515"/>
    <w:rsid w:val="002A7660"/>
    <w:rsid w:val="002B1E6F"/>
    <w:rsid w:val="002B3FA7"/>
    <w:rsid w:val="002B5817"/>
    <w:rsid w:val="002B5A40"/>
    <w:rsid w:val="002B5BBD"/>
    <w:rsid w:val="002B5FC4"/>
    <w:rsid w:val="002B79DF"/>
    <w:rsid w:val="002C2CBA"/>
    <w:rsid w:val="002C3FBE"/>
    <w:rsid w:val="002C7E29"/>
    <w:rsid w:val="002D0DB7"/>
    <w:rsid w:val="002D0F8F"/>
    <w:rsid w:val="002D2783"/>
    <w:rsid w:val="002D39C2"/>
    <w:rsid w:val="002D5484"/>
    <w:rsid w:val="002D586E"/>
    <w:rsid w:val="002D6A5E"/>
    <w:rsid w:val="002E0C29"/>
    <w:rsid w:val="002E41F0"/>
    <w:rsid w:val="002E5A9C"/>
    <w:rsid w:val="002E704B"/>
    <w:rsid w:val="00302308"/>
    <w:rsid w:val="00304234"/>
    <w:rsid w:val="003067B2"/>
    <w:rsid w:val="003073B9"/>
    <w:rsid w:val="00307712"/>
    <w:rsid w:val="00310E8A"/>
    <w:rsid w:val="00313E27"/>
    <w:rsid w:val="0031421F"/>
    <w:rsid w:val="0031474B"/>
    <w:rsid w:val="003167C7"/>
    <w:rsid w:val="00321361"/>
    <w:rsid w:val="003240E6"/>
    <w:rsid w:val="003242F2"/>
    <w:rsid w:val="003279BF"/>
    <w:rsid w:val="0033080F"/>
    <w:rsid w:val="00331A0D"/>
    <w:rsid w:val="00332CC3"/>
    <w:rsid w:val="0033412A"/>
    <w:rsid w:val="00336F78"/>
    <w:rsid w:val="00340218"/>
    <w:rsid w:val="00340873"/>
    <w:rsid w:val="00340E72"/>
    <w:rsid w:val="00344019"/>
    <w:rsid w:val="0034553E"/>
    <w:rsid w:val="0034672B"/>
    <w:rsid w:val="00346C47"/>
    <w:rsid w:val="00347FFB"/>
    <w:rsid w:val="0035059E"/>
    <w:rsid w:val="00351141"/>
    <w:rsid w:val="00352AC0"/>
    <w:rsid w:val="0035626C"/>
    <w:rsid w:val="0035677A"/>
    <w:rsid w:val="003611F2"/>
    <w:rsid w:val="00362464"/>
    <w:rsid w:val="00363446"/>
    <w:rsid w:val="00363626"/>
    <w:rsid w:val="0036421F"/>
    <w:rsid w:val="00367273"/>
    <w:rsid w:val="00370C22"/>
    <w:rsid w:val="00376486"/>
    <w:rsid w:val="0038065D"/>
    <w:rsid w:val="00381B94"/>
    <w:rsid w:val="00381BA3"/>
    <w:rsid w:val="0038205B"/>
    <w:rsid w:val="0038293E"/>
    <w:rsid w:val="00382AC8"/>
    <w:rsid w:val="00384E68"/>
    <w:rsid w:val="0038625E"/>
    <w:rsid w:val="003932A8"/>
    <w:rsid w:val="00395203"/>
    <w:rsid w:val="00395DB7"/>
    <w:rsid w:val="0039621A"/>
    <w:rsid w:val="003A20BC"/>
    <w:rsid w:val="003A5471"/>
    <w:rsid w:val="003A7107"/>
    <w:rsid w:val="003B1DF2"/>
    <w:rsid w:val="003B2813"/>
    <w:rsid w:val="003B54AC"/>
    <w:rsid w:val="003B568A"/>
    <w:rsid w:val="003C3844"/>
    <w:rsid w:val="003C6864"/>
    <w:rsid w:val="003C6D3E"/>
    <w:rsid w:val="003C7846"/>
    <w:rsid w:val="003D0C99"/>
    <w:rsid w:val="003D1176"/>
    <w:rsid w:val="003D132E"/>
    <w:rsid w:val="003D5063"/>
    <w:rsid w:val="003D6207"/>
    <w:rsid w:val="003D6221"/>
    <w:rsid w:val="003E3FF7"/>
    <w:rsid w:val="003E49F1"/>
    <w:rsid w:val="003E4B85"/>
    <w:rsid w:val="003E554F"/>
    <w:rsid w:val="003E617C"/>
    <w:rsid w:val="003F1539"/>
    <w:rsid w:val="003F16E4"/>
    <w:rsid w:val="003F3FDA"/>
    <w:rsid w:val="003F7176"/>
    <w:rsid w:val="00401F85"/>
    <w:rsid w:val="00404D72"/>
    <w:rsid w:val="00405E39"/>
    <w:rsid w:val="00406C35"/>
    <w:rsid w:val="00407B49"/>
    <w:rsid w:val="004102A1"/>
    <w:rsid w:val="0041132B"/>
    <w:rsid w:val="004179E2"/>
    <w:rsid w:val="004200E5"/>
    <w:rsid w:val="00420A48"/>
    <w:rsid w:val="004223FC"/>
    <w:rsid w:val="00424F6D"/>
    <w:rsid w:val="00425101"/>
    <w:rsid w:val="00425E92"/>
    <w:rsid w:val="004307A2"/>
    <w:rsid w:val="00430C67"/>
    <w:rsid w:val="004326A7"/>
    <w:rsid w:val="004329B1"/>
    <w:rsid w:val="0044030C"/>
    <w:rsid w:val="004415EE"/>
    <w:rsid w:val="00441A30"/>
    <w:rsid w:val="00442B28"/>
    <w:rsid w:val="004449C1"/>
    <w:rsid w:val="00447099"/>
    <w:rsid w:val="004510E6"/>
    <w:rsid w:val="00452741"/>
    <w:rsid w:val="00453F9B"/>
    <w:rsid w:val="0045408D"/>
    <w:rsid w:val="00455674"/>
    <w:rsid w:val="00456FE5"/>
    <w:rsid w:val="00460F6D"/>
    <w:rsid w:val="00461E61"/>
    <w:rsid w:val="004659E2"/>
    <w:rsid w:val="00470D8D"/>
    <w:rsid w:val="0047214C"/>
    <w:rsid w:val="0047484E"/>
    <w:rsid w:val="004805EA"/>
    <w:rsid w:val="00481567"/>
    <w:rsid w:val="00482BF0"/>
    <w:rsid w:val="004867BE"/>
    <w:rsid w:val="00490B4F"/>
    <w:rsid w:val="00491DD3"/>
    <w:rsid w:val="004A086B"/>
    <w:rsid w:val="004A0E7F"/>
    <w:rsid w:val="004A28B9"/>
    <w:rsid w:val="004A2F8E"/>
    <w:rsid w:val="004A4952"/>
    <w:rsid w:val="004A77A1"/>
    <w:rsid w:val="004B2356"/>
    <w:rsid w:val="004B35DB"/>
    <w:rsid w:val="004B52A6"/>
    <w:rsid w:val="004B61F5"/>
    <w:rsid w:val="004B6898"/>
    <w:rsid w:val="004B7840"/>
    <w:rsid w:val="004C05DE"/>
    <w:rsid w:val="004C326A"/>
    <w:rsid w:val="004C37B2"/>
    <w:rsid w:val="004C7679"/>
    <w:rsid w:val="004D0503"/>
    <w:rsid w:val="004D5ACF"/>
    <w:rsid w:val="004D6128"/>
    <w:rsid w:val="004E207F"/>
    <w:rsid w:val="004E32B9"/>
    <w:rsid w:val="004E6B98"/>
    <w:rsid w:val="004E7C35"/>
    <w:rsid w:val="004F04A2"/>
    <w:rsid w:val="004F0BE0"/>
    <w:rsid w:val="004F1672"/>
    <w:rsid w:val="004F17B1"/>
    <w:rsid w:val="004F4BFC"/>
    <w:rsid w:val="004F4D01"/>
    <w:rsid w:val="00500313"/>
    <w:rsid w:val="00500589"/>
    <w:rsid w:val="00506E1D"/>
    <w:rsid w:val="00507609"/>
    <w:rsid w:val="0050766D"/>
    <w:rsid w:val="00510CDB"/>
    <w:rsid w:val="00511D55"/>
    <w:rsid w:val="005120F8"/>
    <w:rsid w:val="00512C54"/>
    <w:rsid w:val="005136A9"/>
    <w:rsid w:val="00513FBE"/>
    <w:rsid w:val="0051673E"/>
    <w:rsid w:val="005176FB"/>
    <w:rsid w:val="005210AC"/>
    <w:rsid w:val="005244C0"/>
    <w:rsid w:val="00526D8D"/>
    <w:rsid w:val="00526DD2"/>
    <w:rsid w:val="00530539"/>
    <w:rsid w:val="00531A7F"/>
    <w:rsid w:val="00536B93"/>
    <w:rsid w:val="00537D76"/>
    <w:rsid w:val="00540675"/>
    <w:rsid w:val="005411DB"/>
    <w:rsid w:val="005412DB"/>
    <w:rsid w:val="00541EA7"/>
    <w:rsid w:val="00544CDE"/>
    <w:rsid w:val="00547C56"/>
    <w:rsid w:val="00547CB0"/>
    <w:rsid w:val="00550601"/>
    <w:rsid w:val="00550DBE"/>
    <w:rsid w:val="005510A7"/>
    <w:rsid w:val="005517E3"/>
    <w:rsid w:val="005559E6"/>
    <w:rsid w:val="00555C6F"/>
    <w:rsid w:val="00556897"/>
    <w:rsid w:val="00564FC2"/>
    <w:rsid w:val="00565BAE"/>
    <w:rsid w:val="005703C4"/>
    <w:rsid w:val="00571742"/>
    <w:rsid w:val="00571A46"/>
    <w:rsid w:val="005729D9"/>
    <w:rsid w:val="00575083"/>
    <w:rsid w:val="00576752"/>
    <w:rsid w:val="005847C2"/>
    <w:rsid w:val="00591280"/>
    <w:rsid w:val="00592698"/>
    <w:rsid w:val="00592FF6"/>
    <w:rsid w:val="00594B1E"/>
    <w:rsid w:val="00595B73"/>
    <w:rsid w:val="00595C6E"/>
    <w:rsid w:val="0059621C"/>
    <w:rsid w:val="00597625"/>
    <w:rsid w:val="00597714"/>
    <w:rsid w:val="00597BE2"/>
    <w:rsid w:val="005A19A4"/>
    <w:rsid w:val="005A2EA2"/>
    <w:rsid w:val="005A6A27"/>
    <w:rsid w:val="005B22E8"/>
    <w:rsid w:val="005B6233"/>
    <w:rsid w:val="005B7C2C"/>
    <w:rsid w:val="005B7F33"/>
    <w:rsid w:val="005C0C2E"/>
    <w:rsid w:val="005C25F7"/>
    <w:rsid w:val="005C40F2"/>
    <w:rsid w:val="005D095D"/>
    <w:rsid w:val="005D1E42"/>
    <w:rsid w:val="005D4E98"/>
    <w:rsid w:val="005D6578"/>
    <w:rsid w:val="005E089F"/>
    <w:rsid w:val="005E1202"/>
    <w:rsid w:val="005E46D4"/>
    <w:rsid w:val="005E4BE5"/>
    <w:rsid w:val="005E4E57"/>
    <w:rsid w:val="005E54B6"/>
    <w:rsid w:val="005E6A85"/>
    <w:rsid w:val="005E72A8"/>
    <w:rsid w:val="005E7C97"/>
    <w:rsid w:val="005F1764"/>
    <w:rsid w:val="005F3D87"/>
    <w:rsid w:val="005F40AF"/>
    <w:rsid w:val="005F48A4"/>
    <w:rsid w:val="005F4D3F"/>
    <w:rsid w:val="005F4DC8"/>
    <w:rsid w:val="005F5E54"/>
    <w:rsid w:val="005F759B"/>
    <w:rsid w:val="005F7DD3"/>
    <w:rsid w:val="00601D69"/>
    <w:rsid w:val="00603BBE"/>
    <w:rsid w:val="006054C6"/>
    <w:rsid w:val="006056DE"/>
    <w:rsid w:val="00607913"/>
    <w:rsid w:val="00607BBF"/>
    <w:rsid w:val="00614AF2"/>
    <w:rsid w:val="00614C15"/>
    <w:rsid w:val="006169F2"/>
    <w:rsid w:val="00617F43"/>
    <w:rsid w:val="006216C0"/>
    <w:rsid w:val="006219CA"/>
    <w:rsid w:val="006225FE"/>
    <w:rsid w:val="00623118"/>
    <w:rsid w:val="00624D40"/>
    <w:rsid w:val="00626E4A"/>
    <w:rsid w:val="006302A9"/>
    <w:rsid w:val="00631895"/>
    <w:rsid w:val="00631C0D"/>
    <w:rsid w:val="00631EB9"/>
    <w:rsid w:val="00633A5C"/>
    <w:rsid w:val="00633AA4"/>
    <w:rsid w:val="0063629A"/>
    <w:rsid w:val="006367F8"/>
    <w:rsid w:val="0065026D"/>
    <w:rsid w:val="00650C32"/>
    <w:rsid w:val="0065126B"/>
    <w:rsid w:val="00653F86"/>
    <w:rsid w:val="00654669"/>
    <w:rsid w:val="00655B76"/>
    <w:rsid w:val="006566D7"/>
    <w:rsid w:val="006607A4"/>
    <w:rsid w:val="006626E2"/>
    <w:rsid w:val="00664C9F"/>
    <w:rsid w:val="00664D37"/>
    <w:rsid w:val="00665595"/>
    <w:rsid w:val="00670136"/>
    <w:rsid w:val="00670CD7"/>
    <w:rsid w:val="00672FB6"/>
    <w:rsid w:val="00673B23"/>
    <w:rsid w:val="00676556"/>
    <w:rsid w:val="00680F6D"/>
    <w:rsid w:val="00684925"/>
    <w:rsid w:val="00686F28"/>
    <w:rsid w:val="00687D48"/>
    <w:rsid w:val="0069286D"/>
    <w:rsid w:val="0069350E"/>
    <w:rsid w:val="00693BE9"/>
    <w:rsid w:val="006960BF"/>
    <w:rsid w:val="006A5909"/>
    <w:rsid w:val="006A5AFD"/>
    <w:rsid w:val="006B1440"/>
    <w:rsid w:val="006B2306"/>
    <w:rsid w:val="006B2515"/>
    <w:rsid w:val="006B3F2F"/>
    <w:rsid w:val="006B5629"/>
    <w:rsid w:val="006C0CEB"/>
    <w:rsid w:val="006C11C0"/>
    <w:rsid w:val="006C2EB9"/>
    <w:rsid w:val="006C307C"/>
    <w:rsid w:val="006C3353"/>
    <w:rsid w:val="006C6289"/>
    <w:rsid w:val="006D0286"/>
    <w:rsid w:val="006D0DB4"/>
    <w:rsid w:val="006D447E"/>
    <w:rsid w:val="006D4518"/>
    <w:rsid w:val="006D7989"/>
    <w:rsid w:val="006E28F2"/>
    <w:rsid w:val="006E4548"/>
    <w:rsid w:val="006E66FB"/>
    <w:rsid w:val="006F3120"/>
    <w:rsid w:val="006F350A"/>
    <w:rsid w:val="006F5801"/>
    <w:rsid w:val="006F6132"/>
    <w:rsid w:val="007042B3"/>
    <w:rsid w:val="00706080"/>
    <w:rsid w:val="0071109F"/>
    <w:rsid w:val="007113E7"/>
    <w:rsid w:val="0071186D"/>
    <w:rsid w:val="00716510"/>
    <w:rsid w:val="007169E8"/>
    <w:rsid w:val="007202B4"/>
    <w:rsid w:val="00720AB0"/>
    <w:rsid w:val="00722299"/>
    <w:rsid w:val="007222AF"/>
    <w:rsid w:val="00722BE8"/>
    <w:rsid w:val="00727805"/>
    <w:rsid w:val="00730747"/>
    <w:rsid w:val="007315C3"/>
    <w:rsid w:val="007327A6"/>
    <w:rsid w:val="007337DA"/>
    <w:rsid w:val="00733B6D"/>
    <w:rsid w:val="00735104"/>
    <w:rsid w:val="007404D7"/>
    <w:rsid w:val="0074130C"/>
    <w:rsid w:val="00743299"/>
    <w:rsid w:val="00745195"/>
    <w:rsid w:val="00747D33"/>
    <w:rsid w:val="0075080C"/>
    <w:rsid w:val="007525E7"/>
    <w:rsid w:val="00753837"/>
    <w:rsid w:val="00760839"/>
    <w:rsid w:val="00760CB4"/>
    <w:rsid w:val="0076137D"/>
    <w:rsid w:val="00762F21"/>
    <w:rsid w:val="0077018A"/>
    <w:rsid w:val="00771449"/>
    <w:rsid w:val="00771C7E"/>
    <w:rsid w:val="00772B30"/>
    <w:rsid w:val="007774E4"/>
    <w:rsid w:val="00780F85"/>
    <w:rsid w:val="0078114B"/>
    <w:rsid w:val="00782A6F"/>
    <w:rsid w:val="00782ED0"/>
    <w:rsid w:val="00786C8B"/>
    <w:rsid w:val="00792546"/>
    <w:rsid w:val="00792AEC"/>
    <w:rsid w:val="0079607D"/>
    <w:rsid w:val="00797F76"/>
    <w:rsid w:val="007A02EE"/>
    <w:rsid w:val="007A12CC"/>
    <w:rsid w:val="007A2ACB"/>
    <w:rsid w:val="007A4382"/>
    <w:rsid w:val="007A58C4"/>
    <w:rsid w:val="007A5B25"/>
    <w:rsid w:val="007A79EE"/>
    <w:rsid w:val="007A7FB6"/>
    <w:rsid w:val="007B7406"/>
    <w:rsid w:val="007C0601"/>
    <w:rsid w:val="007C2A5D"/>
    <w:rsid w:val="007C48D9"/>
    <w:rsid w:val="007C4988"/>
    <w:rsid w:val="007C606A"/>
    <w:rsid w:val="007C69C6"/>
    <w:rsid w:val="007C6B75"/>
    <w:rsid w:val="007D1758"/>
    <w:rsid w:val="007D3214"/>
    <w:rsid w:val="007D3EB3"/>
    <w:rsid w:val="007D45AB"/>
    <w:rsid w:val="007D5B0C"/>
    <w:rsid w:val="007D7812"/>
    <w:rsid w:val="007E05B1"/>
    <w:rsid w:val="007E0E1E"/>
    <w:rsid w:val="007E2835"/>
    <w:rsid w:val="007E3629"/>
    <w:rsid w:val="007E5B7C"/>
    <w:rsid w:val="007F071C"/>
    <w:rsid w:val="007F0F73"/>
    <w:rsid w:val="007F288C"/>
    <w:rsid w:val="007F6762"/>
    <w:rsid w:val="007F7766"/>
    <w:rsid w:val="007F7CFD"/>
    <w:rsid w:val="00800DA6"/>
    <w:rsid w:val="008018BA"/>
    <w:rsid w:val="00802ACE"/>
    <w:rsid w:val="00804119"/>
    <w:rsid w:val="0080413D"/>
    <w:rsid w:val="008043FB"/>
    <w:rsid w:val="00804BF4"/>
    <w:rsid w:val="00805244"/>
    <w:rsid w:val="00805493"/>
    <w:rsid w:val="00805B65"/>
    <w:rsid w:val="00811877"/>
    <w:rsid w:val="00812CF4"/>
    <w:rsid w:val="0081462D"/>
    <w:rsid w:val="0081590C"/>
    <w:rsid w:val="008242FB"/>
    <w:rsid w:val="0082468B"/>
    <w:rsid w:val="00826318"/>
    <w:rsid w:val="008272D3"/>
    <w:rsid w:val="00831D30"/>
    <w:rsid w:val="00832B4C"/>
    <w:rsid w:val="00833A2B"/>
    <w:rsid w:val="008412EB"/>
    <w:rsid w:val="00841ADA"/>
    <w:rsid w:val="00843782"/>
    <w:rsid w:val="008441AE"/>
    <w:rsid w:val="008446C3"/>
    <w:rsid w:val="00846B74"/>
    <w:rsid w:val="00846E7A"/>
    <w:rsid w:val="008473A0"/>
    <w:rsid w:val="00852F42"/>
    <w:rsid w:val="00854E4E"/>
    <w:rsid w:val="00855417"/>
    <w:rsid w:val="008600CE"/>
    <w:rsid w:val="0086125C"/>
    <w:rsid w:val="00863079"/>
    <w:rsid w:val="008646B2"/>
    <w:rsid w:val="00866283"/>
    <w:rsid w:val="00871182"/>
    <w:rsid w:val="00871A91"/>
    <w:rsid w:val="00873F88"/>
    <w:rsid w:val="00876468"/>
    <w:rsid w:val="00877B2C"/>
    <w:rsid w:val="0088061F"/>
    <w:rsid w:val="008807F9"/>
    <w:rsid w:val="008808EA"/>
    <w:rsid w:val="008825E3"/>
    <w:rsid w:val="0088379F"/>
    <w:rsid w:val="00883803"/>
    <w:rsid w:val="0088664E"/>
    <w:rsid w:val="00887216"/>
    <w:rsid w:val="00887D67"/>
    <w:rsid w:val="00894BBB"/>
    <w:rsid w:val="00894CF4"/>
    <w:rsid w:val="00896085"/>
    <w:rsid w:val="008972FA"/>
    <w:rsid w:val="008A028C"/>
    <w:rsid w:val="008A0A69"/>
    <w:rsid w:val="008A5B3E"/>
    <w:rsid w:val="008A6048"/>
    <w:rsid w:val="008A6202"/>
    <w:rsid w:val="008A6450"/>
    <w:rsid w:val="008A7FE2"/>
    <w:rsid w:val="008B18F9"/>
    <w:rsid w:val="008B6570"/>
    <w:rsid w:val="008C40D5"/>
    <w:rsid w:val="008C4D64"/>
    <w:rsid w:val="008C522F"/>
    <w:rsid w:val="008C5F51"/>
    <w:rsid w:val="008D14C2"/>
    <w:rsid w:val="008D1F99"/>
    <w:rsid w:val="008E2689"/>
    <w:rsid w:val="008E46C7"/>
    <w:rsid w:val="008E67D6"/>
    <w:rsid w:val="008E73E1"/>
    <w:rsid w:val="008F1026"/>
    <w:rsid w:val="008F148A"/>
    <w:rsid w:val="008F30CC"/>
    <w:rsid w:val="008F4AEA"/>
    <w:rsid w:val="008F4B5C"/>
    <w:rsid w:val="008F6250"/>
    <w:rsid w:val="009011E8"/>
    <w:rsid w:val="00901537"/>
    <w:rsid w:val="00901E34"/>
    <w:rsid w:val="00902CD4"/>
    <w:rsid w:val="00903ACB"/>
    <w:rsid w:val="009046E8"/>
    <w:rsid w:val="00907D20"/>
    <w:rsid w:val="00911C03"/>
    <w:rsid w:val="00915FD6"/>
    <w:rsid w:val="00917AAA"/>
    <w:rsid w:val="00922177"/>
    <w:rsid w:val="0092447F"/>
    <w:rsid w:val="0092773D"/>
    <w:rsid w:val="00927E0B"/>
    <w:rsid w:val="00927EF0"/>
    <w:rsid w:val="00932F83"/>
    <w:rsid w:val="00933BBB"/>
    <w:rsid w:val="00933DAE"/>
    <w:rsid w:val="00936260"/>
    <w:rsid w:val="00936B7C"/>
    <w:rsid w:val="00940AB5"/>
    <w:rsid w:val="00945127"/>
    <w:rsid w:val="009459DE"/>
    <w:rsid w:val="0094697D"/>
    <w:rsid w:val="00946E2F"/>
    <w:rsid w:val="00947902"/>
    <w:rsid w:val="009514A6"/>
    <w:rsid w:val="009516CA"/>
    <w:rsid w:val="00952613"/>
    <w:rsid w:val="009530FB"/>
    <w:rsid w:val="009544A0"/>
    <w:rsid w:val="00955318"/>
    <w:rsid w:val="00963A14"/>
    <w:rsid w:val="00964D40"/>
    <w:rsid w:val="009667C1"/>
    <w:rsid w:val="0097393E"/>
    <w:rsid w:val="00974084"/>
    <w:rsid w:val="009761C0"/>
    <w:rsid w:val="00976665"/>
    <w:rsid w:val="00980935"/>
    <w:rsid w:val="00981458"/>
    <w:rsid w:val="00985062"/>
    <w:rsid w:val="00994169"/>
    <w:rsid w:val="00994C7C"/>
    <w:rsid w:val="0099505F"/>
    <w:rsid w:val="00997EE3"/>
    <w:rsid w:val="009A0D72"/>
    <w:rsid w:val="009A226C"/>
    <w:rsid w:val="009A3195"/>
    <w:rsid w:val="009A78BE"/>
    <w:rsid w:val="009A7EB4"/>
    <w:rsid w:val="009B025C"/>
    <w:rsid w:val="009B1F11"/>
    <w:rsid w:val="009B6328"/>
    <w:rsid w:val="009B6936"/>
    <w:rsid w:val="009B6A3B"/>
    <w:rsid w:val="009C079E"/>
    <w:rsid w:val="009C4700"/>
    <w:rsid w:val="009C4B0A"/>
    <w:rsid w:val="009C5494"/>
    <w:rsid w:val="009C70B4"/>
    <w:rsid w:val="009D2C09"/>
    <w:rsid w:val="009D3407"/>
    <w:rsid w:val="009D4BD3"/>
    <w:rsid w:val="009D58DB"/>
    <w:rsid w:val="009D59EB"/>
    <w:rsid w:val="009D5AE1"/>
    <w:rsid w:val="009D67D5"/>
    <w:rsid w:val="009D6DF5"/>
    <w:rsid w:val="009E073A"/>
    <w:rsid w:val="009E16C6"/>
    <w:rsid w:val="009E29FA"/>
    <w:rsid w:val="009E389E"/>
    <w:rsid w:val="009E74A6"/>
    <w:rsid w:val="009F05F1"/>
    <w:rsid w:val="009F0A19"/>
    <w:rsid w:val="009F0E9E"/>
    <w:rsid w:val="009F0EDF"/>
    <w:rsid w:val="009F28CB"/>
    <w:rsid w:val="009F403A"/>
    <w:rsid w:val="009F5030"/>
    <w:rsid w:val="009F51A2"/>
    <w:rsid w:val="009F5871"/>
    <w:rsid w:val="009F6154"/>
    <w:rsid w:val="00A00222"/>
    <w:rsid w:val="00A00AFF"/>
    <w:rsid w:val="00A06D71"/>
    <w:rsid w:val="00A10B0A"/>
    <w:rsid w:val="00A10FD7"/>
    <w:rsid w:val="00A137B7"/>
    <w:rsid w:val="00A14600"/>
    <w:rsid w:val="00A14C6B"/>
    <w:rsid w:val="00A14E60"/>
    <w:rsid w:val="00A1723C"/>
    <w:rsid w:val="00A17C5F"/>
    <w:rsid w:val="00A17F76"/>
    <w:rsid w:val="00A21960"/>
    <w:rsid w:val="00A221C5"/>
    <w:rsid w:val="00A2296E"/>
    <w:rsid w:val="00A23E6F"/>
    <w:rsid w:val="00A245DE"/>
    <w:rsid w:val="00A24E71"/>
    <w:rsid w:val="00A2608D"/>
    <w:rsid w:val="00A30D8C"/>
    <w:rsid w:val="00A3164A"/>
    <w:rsid w:val="00A32ADA"/>
    <w:rsid w:val="00A34434"/>
    <w:rsid w:val="00A36BD0"/>
    <w:rsid w:val="00A37585"/>
    <w:rsid w:val="00A4091D"/>
    <w:rsid w:val="00A41927"/>
    <w:rsid w:val="00A443E3"/>
    <w:rsid w:val="00A510DC"/>
    <w:rsid w:val="00A514BD"/>
    <w:rsid w:val="00A53629"/>
    <w:rsid w:val="00A54C3E"/>
    <w:rsid w:val="00A560AB"/>
    <w:rsid w:val="00A56237"/>
    <w:rsid w:val="00A62289"/>
    <w:rsid w:val="00A62830"/>
    <w:rsid w:val="00A64C44"/>
    <w:rsid w:val="00A66C2E"/>
    <w:rsid w:val="00A67907"/>
    <w:rsid w:val="00A70894"/>
    <w:rsid w:val="00A71D7D"/>
    <w:rsid w:val="00A72452"/>
    <w:rsid w:val="00A7312F"/>
    <w:rsid w:val="00A74072"/>
    <w:rsid w:val="00A81662"/>
    <w:rsid w:val="00A8241D"/>
    <w:rsid w:val="00A8347D"/>
    <w:rsid w:val="00A843E2"/>
    <w:rsid w:val="00A8696E"/>
    <w:rsid w:val="00A92979"/>
    <w:rsid w:val="00A93BA4"/>
    <w:rsid w:val="00A95479"/>
    <w:rsid w:val="00A96044"/>
    <w:rsid w:val="00A96277"/>
    <w:rsid w:val="00A96AB2"/>
    <w:rsid w:val="00A97623"/>
    <w:rsid w:val="00AA0D8C"/>
    <w:rsid w:val="00AA18EC"/>
    <w:rsid w:val="00AA2425"/>
    <w:rsid w:val="00AA5AFF"/>
    <w:rsid w:val="00AA6A13"/>
    <w:rsid w:val="00AA6D12"/>
    <w:rsid w:val="00AA7869"/>
    <w:rsid w:val="00AB1E5C"/>
    <w:rsid w:val="00AB37F2"/>
    <w:rsid w:val="00AB5DC1"/>
    <w:rsid w:val="00AB6D71"/>
    <w:rsid w:val="00AB70F7"/>
    <w:rsid w:val="00AC12AD"/>
    <w:rsid w:val="00AC21F6"/>
    <w:rsid w:val="00AC2979"/>
    <w:rsid w:val="00AC373F"/>
    <w:rsid w:val="00AC5CEC"/>
    <w:rsid w:val="00AC610F"/>
    <w:rsid w:val="00AC6E19"/>
    <w:rsid w:val="00AC7AEB"/>
    <w:rsid w:val="00AD298C"/>
    <w:rsid w:val="00AD2BA7"/>
    <w:rsid w:val="00AD3B0F"/>
    <w:rsid w:val="00AD451E"/>
    <w:rsid w:val="00AD5767"/>
    <w:rsid w:val="00AD7BB7"/>
    <w:rsid w:val="00AE6082"/>
    <w:rsid w:val="00AE6DBC"/>
    <w:rsid w:val="00AE71F6"/>
    <w:rsid w:val="00B00E47"/>
    <w:rsid w:val="00B01367"/>
    <w:rsid w:val="00B02FCE"/>
    <w:rsid w:val="00B03F1A"/>
    <w:rsid w:val="00B04C6A"/>
    <w:rsid w:val="00B0538C"/>
    <w:rsid w:val="00B06950"/>
    <w:rsid w:val="00B10893"/>
    <w:rsid w:val="00B1635C"/>
    <w:rsid w:val="00B20782"/>
    <w:rsid w:val="00B22384"/>
    <w:rsid w:val="00B230FC"/>
    <w:rsid w:val="00B30537"/>
    <w:rsid w:val="00B33135"/>
    <w:rsid w:val="00B33207"/>
    <w:rsid w:val="00B3456D"/>
    <w:rsid w:val="00B36860"/>
    <w:rsid w:val="00B40052"/>
    <w:rsid w:val="00B402B7"/>
    <w:rsid w:val="00B40540"/>
    <w:rsid w:val="00B43B4F"/>
    <w:rsid w:val="00B43EAA"/>
    <w:rsid w:val="00B44DB3"/>
    <w:rsid w:val="00B507B9"/>
    <w:rsid w:val="00B51BAD"/>
    <w:rsid w:val="00B533B6"/>
    <w:rsid w:val="00B5590E"/>
    <w:rsid w:val="00B5601A"/>
    <w:rsid w:val="00B56109"/>
    <w:rsid w:val="00B56B11"/>
    <w:rsid w:val="00B57FA1"/>
    <w:rsid w:val="00B6025C"/>
    <w:rsid w:val="00B60E00"/>
    <w:rsid w:val="00B61248"/>
    <w:rsid w:val="00B61DBA"/>
    <w:rsid w:val="00B630F7"/>
    <w:rsid w:val="00B63686"/>
    <w:rsid w:val="00B64918"/>
    <w:rsid w:val="00B65005"/>
    <w:rsid w:val="00B6524D"/>
    <w:rsid w:val="00B672CD"/>
    <w:rsid w:val="00B67E9B"/>
    <w:rsid w:val="00B710DC"/>
    <w:rsid w:val="00B71268"/>
    <w:rsid w:val="00B72FBE"/>
    <w:rsid w:val="00B74685"/>
    <w:rsid w:val="00B749F2"/>
    <w:rsid w:val="00B75802"/>
    <w:rsid w:val="00B76439"/>
    <w:rsid w:val="00B77411"/>
    <w:rsid w:val="00B80FCB"/>
    <w:rsid w:val="00B83911"/>
    <w:rsid w:val="00B85761"/>
    <w:rsid w:val="00B86769"/>
    <w:rsid w:val="00B921B1"/>
    <w:rsid w:val="00B93244"/>
    <w:rsid w:val="00B93428"/>
    <w:rsid w:val="00B9370A"/>
    <w:rsid w:val="00B965F1"/>
    <w:rsid w:val="00BA10FC"/>
    <w:rsid w:val="00BA12C9"/>
    <w:rsid w:val="00BB04DF"/>
    <w:rsid w:val="00BB125B"/>
    <w:rsid w:val="00BB14C2"/>
    <w:rsid w:val="00BB3184"/>
    <w:rsid w:val="00BB769D"/>
    <w:rsid w:val="00BC16BB"/>
    <w:rsid w:val="00BC2184"/>
    <w:rsid w:val="00BC317C"/>
    <w:rsid w:val="00BC5E71"/>
    <w:rsid w:val="00BC7331"/>
    <w:rsid w:val="00BD1CF7"/>
    <w:rsid w:val="00BD3788"/>
    <w:rsid w:val="00BD39F4"/>
    <w:rsid w:val="00BD4102"/>
    <w:rsid w:val="00BE04C9"/>
    <w:rsid w:val="00BE184C"/>
    <w:rsid w:val="00BE4BF2"/>
    <w:rsid w:val="00BE567E"/>
    <w:rsid w:val="00BE67DE"/>
    <w:rsid w:val="00BF293D"/>
    <w:rsid w:val="00BF2A40"/>
    <w:rsid w:val="00BF54FC"/>
    <w:rsid w:val="00BF5949"/>
    <w:rsid w:val="00BF692C"/>
    <w:rsid w:val="00C011A9"/>
    <w:rsid w:val="00C01B7A"/>
    <w:rsid w:val="00C02B12"/>
    <w:rsid w:val="00C05824"/>
    <w:rsid w:val="00C06171"/>
    <w:rsid w:val="00C1035F"/>
    <w:rsid w:val="00C239B4"/>
    <w:rsid w:val="00C23D58"/>
    <w:rsid w:val="00C24CF0"/>
    <w:rsid w:val="00C312AB"/>
    <w:rsid w:val="00C329F1"/>
    <w:rsid w:val="00C357AF"/>
    <w:rsid w:val="00C36135"/>
    <w:rsid w:val="00C371C7"/>
    <w:rsid w:val="00C42974"/>
    <w:rsid w:val="00C432C6"/>
    <w:rsid w:val="00C436BE"/>
    <w:rsid w:val="00C44086"/>
    <w:rsid w:val="00C443DF"/>
    <w:rsid w:val="00C47E27"/>
    <w:rsid w:val="00C50185"/>
    <w:rsid w:val="00C50406"/>
    <w:rsid w:val="00C504C1"/>
    <w:rsid w:val="00C5230B"/>
    <w:rsid w:val="00C60802"/>
    <w:rsid w:val="00C628AF"/>
    <w:rsid w:val="00C62904"/>
    <w:rsid w:val="00C6328C"/>
    <w:rsid w:val="00C663FA"/>
    <w:rsid w:val="00C71BE4"/>
    <w:rsid w:val="00C726D1"/>
    <w:rsid w:val="00C7367F"/>
    <w:rsid w:val="00C73A1B"/>
    <w:rsid w:val="00C77FEA"/>
    <w:rsid w:val="00C8113E"/>
    <w:rsid w:val="00C848DC"/>
    <w:rsid w:val="00C848E2"/>
    <w:rsid w:val="00C86807"/>
    <w:rsid w:val="00C91B7B"/>
    <w:rsid w:val="00C939C5"/>
    <w:rsid w:val="00C94707"/>
    <w:rsid w:val="00C94B7E"/>
    <w:rsid w:val="00CA21CD"/>
    <w:rsid w:val="00CA25F1"/>
    <w:rsid w:val="00CA4E0F"/>
    <w:rsid w:val="00CB0EC5"/>
    <w:rsid w:val="00CC086A"/>
    <w:rsid w:val="00CC1CC8"/>
    <w:rsid w:val="00CC4917"/>
    <w:rsid w:val="00CC6C52"/>
    <w:rsid w:val="00CC77AF"/>
    <w:rsid w:val="00CD0503"/>
    <w:rsid w:val="00CD24CA"/>
    <w:rsid w:val="00CD50E8"/>
    <w:rsid w:val="00CE767F"/>
    <w:rsid w:val="00CF231E"/>
    <w:rsid w:val="00CF3C50"/>
    <w:rsid w:val="00D025DA"/>
    <w:rsid w:val="00D06511"/>
    <w:rsid w:val="00D10D47"/>
    <w:rsid w:val="00D120CA"/>
    <w:rsid w:val="00D176DB"/>
    <w:rsid w:val="00D17DEF"/>
    <w:rsid w:val="00D21100"/>
    <w:rsid w:val="00D21EB4"/>
    <w:rsid w:val="00D22EA9"/>
    <w:rsid w:val="00D23073"/>
    <w:rsid w:val="00D233FE"/>
    <w:rsid w:val="00D257FF"/>
    <w:rsid w:val="00D25D73"/>
    <w:rsid w:val="00D272AF"/>
    <w:rsid w:val="00D302C0"/>
    <w:rsid w:val="00D33C91"/>
    <w:rsid w:val="00D34C4F"/>
    <w:rsid w:val="00D353D8"/>
    <w:rsid w:val="00D35684"/>
    <w:rsid w:val="00D371CB"/>
    <w:rsid w:val="00D3743D"/>
    <w:rsid w:val="00D3770D"/>
    <w:rsid w:val="00D40341"/>
    <w:rsid w:val="00D406FF"/>
    <w:rsid w:val="00D411FA"/>
    <w:rsid w:val="00D418D4"/>
    <w:rsid w:val="00D42EBC"/>
    <w:rsid w:val="00D43718"/>
    <w:rsid w:val="00D46A7E"/>
    <w:rsid w:val="00D47720"/>
    <w:rsid w:val="00D50450"/>
    <w:rsid w:val="00D52791"/>
    <w:rsid w:val="00D52838"/>
    <w:rsid w:val="00D55D4E"/>
    <w:rsid w:val="00D5670C"/>
    <w:rsid w:val="00D60173"/>
    <w:rsid w:val="00D60CE6"/>
    <w:rsid w:val="00D614CD"/>
    <w:rsid w:val="00D62613"/>
    <w:rsid w:val="00D64144"/>
    <w:rsid w:val="00D66D8A"/>
    <w:rsid w:val="00D66E35"/>
    <w:rsid w:val="00D67BD2"/>
    <w:rsid w:val="00D705A7"/>
    <w:rsid w:val="00D709B0"/>
    <w:rsid w:val="00D70FDB"/>
    <w:rsid w:val="00D71830"/>
    <w:rsid w:val="00D720F3"/>
    <w:rsid w:val="00D72EFD"/>
    <w:rsid w:val="00D74629"/>
    <w:rsid w:val="00D74F60"/>
    <w:rsid w:val="00D84050"/>
    <w:rsid w:val="00D85699"/>
    <w:rsid w:val="00D86BBB"/>
    <w:rsid w:val="00D91A36"/>
    <w:rsid w:val="00D93493"/>
    <w:rsid w:val="00D93E00"/>
    <w:rsid w:val="00D9540E"/>
    <w:rsid w:val="00DA0FBB"/>
    <w:rsid w:val="00DA359C"/>
    <w:rsid w:val="00DA5D02"/>
    <w:rsid w:val="00DB1A08"/>
    <w:rsid w:val="00DB4C29"/>
    <w:rsid w:val="00DC0B29"/>
    <w:rsid w:val="00DC1253"/>
    <w:rsid w:val="00DC40E6"/>
    <w:rsid w:val="00DC727D"/>
    <w:rsid w:val="00DD3326"/>
    <w:rsid w:val="00DD56B4"/>
    <w:rsid w:val="00DD60E7"/>
    <w:rsid w:val="00DE0340"/>
    <w:rsid w:val="00DE20E5"/>
    <w:rsid w:val="00DE2186"/>
    <w:rsid w:val="00DE2E56"/>
    <w:rsid w:val="00DE3F58"/>
    <w:rsid w:val="00DE56BB"/>
    <w:rsid w:val="00DE6133"/>
    <w:rsid w:val="00DE7EA6"/>
    <w:rsid w:val="00DF1917"/>
    <w:rsid w:val="00DF2349"/>
    <w:rsid w:val="00DF2666"/>
    <w:rsid w:val="00DF54A0"/>
    <w:rsid w:val="00DF5BBE"/>
    <w:rsid w:val="00DF6696"/>
    <w:rsid w:val="00DF6756"/>
    <w:rsid w:val="00DF7A0B"/>
    <w:rsid w:val="00E0193B"/>
    <w:rsid w:val="00E0330B"/>
    <w:rsid w:val="00E035A2"/>
    <w:rsid w:val="00E03AE9"/>
    <w:rsid w:val="00E068CC"/>
    <w:rsid w:val="00E118B4"/>
    <w:rsid w:val="00E11D08"/>
    <w:rsid w:val="00E12F5D"/>
    <w:rsid w:val="00E14BC8"/>
    <w:rsid w:val="00E15903"/>
    <w:rsid w:val="00E17051"/>
    <w:rsid w:val="00E209B1"/>
    <w:rsid w:val="00E241AC"/>
    <w:rsid w:val="00E24511"/>
    <w:rsid w:val="00E26DE6"/>
    <w:rsid w:val="00E2794C"/>
    <w:rsid w:val="00E31B17"/>
    <w:rsid w:val="00E32687"/>
    <w:rsid w:val="00E346C3"/>
    <w:rsid w:val="00E37011"/>
    <w:rsid w:val="00E400C3"/>
    <w:rsid w:val="00E47576"/>
    <w:rsid w:val="00E47B46"/>
    <w:rsid w:val="00E516DD"/>
    <w:rsid w:val="00E52CC9"/>
    <w:rsid w:val="00E52D77"/>
    <w:rsid w:val="00E539E0"/>
    <w:rsid w:val="00E556E5"/>
    <w:rsid w:val="00E55DA9"/>
    <w:rsid w:val="00E55FB3"/>
    <w:rsid w:val="00E578FE"/>
    <w:rsid w:val="00E623FE"/>
    <w:rsid w:val="00E633D5"/>
    <w:rsid w:val="00E6369E"/>
    <w:rsid w:val="00E66751"/>
    <w:rsid w:val="00E70A8C"/>
    <w:rsid w:val="00E70E71"/>
    <w:rsid w:val="00E717BB"/>
    <w:rsid w:val="00E71E51"/>
    <w:rsid w:val="00E730DF"/>
    <w:rsid w:val="00E76F4D"/>
    <w:rsid w:val="00E77DDF"/>
    <w:rsid w:val="00E77F8E"/>
    <w:rsid w:val="00E80C08"/>
    <w:rsid w:val="00E8171F"/>
    <w:rsid w:val="00E82CFF"/>
    <w:rsid w:val="00E85CA1"/>
    <w:rsid w:val="00E9173B"/>
    <w:rsid w:val="00E91E68"/>
    <w:rsid w:val="00E92695"/>
    <w:rsid w:val="00E94CB1"/>
    <w:rsid w:val="00E9516F"/>
    <w:rsid w:val="00E974A7"/>
    <w:rsid w:val="00EA4CEE"/>
    <w:rsid w:val="00EA4E72"/>
    <w:rsid w:val="00EA5818"/>
    <w:rsid w:val="00EA7906"/>
    <w:rsid w:val="00EB2B8E"/>
    <w:rsid w:val="00EB3293"/>
    <w:rsid w:val="00EB536D"/>
    <w:rsid w:val="00EB6401"/>
    <w:rsid w:val="00EB7EE9"/>
    <w:rsid w:val="00EB7FD6"/>
    <w:rsid w:val="00EC3373"/>
    <w:rsid w:val="00EC5E59"/>
    <w:rsid w:val="00ED0C6E"/>
    <w:rsid w:val="00ED3B3B"/>
    <w:rsid w:val="00ED416E"/>
    <w:rsid w:val="00ED506D"/>
    <w:rsid w:val="00ED5AD9"/>
    <w:rsid w:val="00ED7399"/>
    <w:rsid w:val="00EE0023"/>
    <w:rsid w:val="00EE0F3B"/>
    <w:rsid w:val="00EE1E80"/>
    <w:rsid w:val="00EE2A9C"/>
    <w:rsid w:val="00EE35FD"/>
    <w:rsid w:val="00EE69D1"/>
    <w:rsid w:val="00EF7019"/>
    <w:rsid w:val="00F01383"/>
    <w:rsid w:val="00F01647"/>
    <w:rsid w:val="00F03C23"/>
    <w:rsid w:val="00F0533B"/>
    <w:rsid w:val="00F066AA"/>
    <w:rsid w:val="00F10A7A"/>
    <w:rsid w:val="00F10E95"/>
    <w:rsid w:val="00F117F1"/>
    <w:rsid w:val="00F14378"/>
    <w:rsid w:val="00F158A9"/>
    <w:rsid w:val="00F17D77"/>
    <w:rsid w:val="00F22910"/>
    <w:rsid w:val="00F24D91"/>
    <w:rsid w:val="00F2512B"/>
    <w:rsid w:val="00F2555A"/>
    <w:rsid w:val="00F3336B"/>
    <w:rsid w:val="00F34C76"/>
    <w:rsid w:val="00F362BC"/>
    <w:rsid w:val="00F4003E"/>
    <w:rsid w:val="00F40600"/>
    <w:rsid w:val="00F41523"/>
    <w:rsid w:val="00F42E21"/>
    <w:rsid w:val="00F42F3B"/>
    <w:rsid w:val="00F435FF"/>
    <w:rsid w:val="00F542F0"/>
    <w:rsid w:val="00F56270"/>
    <w:rsid w:val="00F566E9"/>
    <w:rsid w:val="00F6345F"/>
    <w:rsid w:val="00F63CDE"/>
    <w:rsid w:val="00F6474E"/>
    <w:rsid w:val="00F654C0"/>
    <w:rsid w:val="00F66692"/>
    <w:rsid w:val="00F6696E"/>
    <w:rsid w:val="00F676F3"/>
    <w:rsid w:val="00F70DE4"/>
    <w:rsid w:val="00F71A9C"/>
    <w:rsid w:val="00F73325"/>
    <w:rsid w:val="00F8056A"/>
    <w:rsid w:val="00F81F61"/>
    <w:rsid w:val="00F83393"/>
    <w:rsid w:val="00F83EB1"/>
    <w:rsid w:val="00F845EC"/>
    <w:rsid w:val="00F85114"/>
    <w:rsid w:val="00F85297"/>
    <w:rsid w:val="00F876D1"/>
    <w:rsid w:val="00F87BF4"/>
    <w:rsid w:val="00F87D8A"/>
    <w:rsid w:val="00F92866"/>
    <w:rsid w:val="00F94070"/>
    <w:rsid w:val="00F94AD0"/>
    <w:rsid w:val="00F957AE"/>
    <w:rsid w:val="00F95C52"/>
    <w:rsid w:val="00F95E21"/>
    <w:rsid w:val="00F9600E"/>
    <w:rsid w:val="00F97116"/>
    <w:rsid w:val="00FA44A1"/>
    <w:rsid w:val="00FA4FF9"/>
    <w:rsid w:val="00FA6A31"/>
    <w:rsid w:val="00FA6F6B"/>
    <w:rsid w:val="00FA75C6"/>
    <w:rsid w:val="00FA776E"/>
    <w:rsid w:val="00FB0954"/>
    <w:rsid w:val="00FB0F35"/>
    <w:rsid w:val="00FB3044"/>
    <w:rsid w:val="00FB5551"/>
    <w:rsid w:val="00FB6CF5"/>
    <w:rsid w:val="00FB7936"/>
    <w:rsid w:val="00FC0D8E"/>
    <w:rsid w:val="00FC46F7"/>
    <w:rsid w:val="00FC7E13"/>
    <w:rsid w:val="00FD02AB"/>
    <w:rsid w:val="00FD09E8"/>
    <w:rsid w:val="00FD1A3C"/>
    <w:rsid w:val="00FD1CCF"/>
    <w:rsid w:val="00FD27C0"/>
    <w:rsid w:val="00FD289A"/>
    <w:rsid w:val="00FD3B7A"/>
    <w:rsid w:val="00FD6173"/>
    <w:rsid w:val="00FE021C"/>
    <w:rsid w:val="00FE75B4"/>
    <w:rsid w:val="00FE7E9B"/>
    <w:rsid w:val="00FF2306"/>
    <w:rsid w:val="00FF2DB6"/>
    <w:rsid w:val="00FF52F7"/>
    <w:rsid w:val="00FF6B42"/>
    <w:rsid w:val="00FF7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1F04DA-49CE-4C21-A62E-8B1CB16D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730747"/>
  </w:style>
  <w:style w:type="paragraph" w:styleId="Footer">
    <w:name w:val="footer"/>
    <w:basedOn w:val="Normal"/>
    <w:link w:val="FooterChar"/>
    <w:uiPriority w:val="99"/>
    <w:unhideWhenUsed/>
    <w:rsid w:val="007307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730747"/>
  </w:style>
  <w:style w:type="paragraph" w:styleId="EndnoteText">
    <w:name w:val="endnote text"/>
    <w:basedOn w:val="Normal"/>
    <w:link w:val="EndnoteTextChar"/>
    <w:uiPriority w:val="99"/>
    <w:semiHidden/>
    <w:unhideWhenUsed/>
    <w:rsid w:val="004A2F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A2F8E"/>
    <w:rPr>
      <w:sz w:val="20"/>
      <w:szCs w:val="20"/>
    </w:rPr>
  </w:style>
  <w:style w:type="character" w:styleId="EndnoteReference">
    <w:name w:val="endnote reference"/>
    <w:basedOn w:val="DefaultParagraphFont"/>
    <w:uiPriority w:val="99"/>
    <w:semiHidden/>
    <w:unhideWhenUsed/>
    <w:rsid w:val="004A2F8E"/>
    <w:rPr>
      <w:vertAlign w:val="superscript"/>
    </w:rPr>
  </w:style>
  <w:style w:type="paragraph" w:styleId="ListParagraph">
    <w:name w:val="List Paragraph"/>
    <w:basedOn w:val="Normal"/>
    <w:uiPriority w:val="34"/>
    <w:qFormat/>
    <w:rsid w:val="004A2F8E"/>
    <w:pPr>
      <w:ind w:left="720"/>
      <w:contextualSpacing/>
    </w:pPr>
  </w:style>
  <w:style w:type="paragraph" w:styleId="NoSpacing">
    <w:name w:val="No Spacing"/>
    <w:uiPriority w:val="1"/>
    <w:qFormat/>
    <w:rsid w:val="001337C2"/>
    <w:pPr>
      <w:spacing w:after="0" w:line="240" w:lineRule="auto"/>
    </w:pPr>
  </w:style>
  <w:style w:type="paragraph" w:styleId="FootnoteText">
    <w:name w:val="footnote text"/>
    <w:basedOn w:val="Normal"/>
    <w:link w:val="FootnoteTextChar"/>
    <w:uiPriority w:val="99"/>
    <w:semiHidden/>
    <w:unhideWhenUsed/>
    <w:rsid w:val="00FC0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0D8E"/>
    <w:rPr>
      <w:sz w:val="20"/>
      <w:szCs w:val="20"/>
    </w:rPr>
  </w:style>
  <w:style w:type="character" w:styleId="FootnoteReference">
    <w:name w:val="footnote reference"/>
    <w:basedOn w:val="DefaultParagraphFont"/>
    <w:uiPriority w:val="99"/>
    <w:semiHidden/>
    <w:unhideWhenUsed/>
    <w:rsid w:val="00FC0D8E"/>
    <w:rPr>
      <w:vertAlign w:val="superscript"/>
    </w:rPr>
  </w:style>
  <w:style w:type="character" w:styleId="CommentReference">
    <w:name w:val="annotation reference"/>
    <w:basedOn w:val="DefaultParagraphFont"/>
    <w:uiPriority w:val="99"/>
    <w:semiHidden/>
    <w:unhideWhenUsed/>
    <w:rsid w:val="00B86769"/>
    <w:rPr>
      <w:sz w:val="16"/>
      <w:szCs w:val="16"/>
    </w:rPr>
  </w:style>
  <w:style w:type="paragraph" w:styleId="CommentText">
    <w:name w:val="annotation text"/>
    <w:basedOn w:val="Normal"/>
    <w:link w:val="CommentTextChar"/>
    <w:uiPriority w:val="99"/>
    <w:semiHidden/>
    <w:unhideWhenUsed/>
    <w:rsid w:val="00B86769"/>
    <w:pPr>
      <w:spacing w:line="240" w:lineRule="auto"/>
    </w:pPr>
    <w:rPr>
      <w:sz w:val="20"/>
      <w:szCs w:val="20"/>
    </w:rPr>
  </w:style>
  <w:style w:type="character" w:customStyle="1" w:styleId="CommentTextChar">
    <w:name w:val="Comment Text Char"/>
    <w:basedOn w:val="DefaultParagraphFont"/>
    <w:link w:val="CommentText"/>
    <w:uiPriority w:val="99"/>
    <w:semiHidden/>
    <w:rsid w:val="00B86769"/>
    <w:rPr>
      <w:sz w:val="20"/>
      <w:szCs w:val="20"/>
    </w:rPr>
  </w:style>
  <w:style w:type="paragraph" w:styleId="CommentSubject">
    <w:name w:val="annotation subject"/>
    <w:basedOn w:val="CommentText"/>
    <w:next w:val="CommentText"/>
    <w:link w:val="CommentSubjectChar"/>
    <w:uiPriority w:val="99"/>
    <w:semiHidden/>
    <w:unhideWhenUsed/>
    <w:rsid w:val="00B86769"/>
    <w:rPr>
      <w:b/>
      <w:bCs/>
    </w:rPr>
  </w:style>
  <w:style w:type="character" w:customStyle="1" w:styleId="CommentSubjectChar">
    <w:name w:val="Comment Subject Char"/>
    <w:basedOn w:val="CommentTextChar"/>
    <w:link w:val="CommentSubject"/>
    <w:uiPriority w:val="99"/>
    <w:semiHidden/>
    <w:rsid w:val="00B86769"/>
    <w:rPr>
      <w:b/>
      <w:bCs/>
      <w:sz w:val="20"/>
      <w:szCs w:val="20"/>
    </w:rPr>
  </w:style>
  <w:style w:type="paragraph" w:styleId="BalloonText">
    <w:name w:val="Balloon Text"/>
    <w:basedOn w:val="Normal"/>
    <w:link w:val="BalloonTextChar"/>
    <w:uiPriority w:val="99"/>
    <w:semiHidden/>
    <w:unhideWhenUsed/>
    <w:rsid w:val="00B86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769"/>
    <w:rPr>
      <w:rFonts w:ascii="Tahoma" w:hAnsi="Tahoma" w:cs="Tahoma"/>
      <w:sz w:val="16"/>
      <w:szCs w:val="16"/>
    </w:rPr>
  </w:style>
  <w:style w:type="table" w:styleId="TableGrid">
    <w:name w:val="Table Grid"/>
    <w:basedOn w:val="TableNormal"/>
    <w:uiPriority w:val="59"/>
    <w:rsid w:val="00621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4518"/>
    <w:rPr>
      <w:color w:val="0000FF" w:themeColor="hyperlink"/>
      <w:u w:val="single"/>
    </w:rPr>
  </w:style>
  <w:style w:type="character" w:customStyle="1" w:styleId="Nierozpoznanawzmianka1">
    <w:name w:val="Nierozpoznana wzmianka1"/>
    <w:basedOn w:val="DefaultParagraphFont"/>
    <w:uiPriority w:val="99"/>
    <w:semiHidden/>
    <w:unhideWhenUsed/>
    <w:rsid w:val="006D4518"/>
    <w:rPr>
      <w:color w:val="605E5C"/>
      <w:shd w:val="clear" w:color="auto" w:fill="E1DFDD"/>
    </w:rPr>
  </w:style>
  <w:style w:type="paragraph" w:styleId="HTMLPreformatted">
    <w:name w:val="HTML Preformatted"/>
    <w:basedOn w:val="Normal"/>
    <w:link w:val="HTMLPreformattedChar"/>
    <w:uiPriority w:val="99"/>
    <w:unhideWhenUsed/>
    <w:rsid w:val="00081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81007"/>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7818">
      <w:bodyDiv w:val="1"/>
      <w:marLeft w:val="0"/>
      <w:marRight w:val="0"/>
      <w:marTop w:val="0"/>
      <w:marBottom w:val="0"/>
      <w:divBdr>
        <w:top w:val="none" w:sz="0" w:space="0" w:color="auto"/>
        <w:left w:val="none" w:sz="0" w:space="0" w:color="auto"/>
        <w:bottom w:val="none" w:sz="0" w:space="0" w:color="auto"/>
        <w:right w:val="none" w:sz="0" w:space="0" w:color="auto"/>
      </w:divBdr>
    </w:div>
    <w:div w:id="150803727">
      <w:bodyDiv w:val="1"/>
      <w:marLeft w:val="0"/>
      <w:marRight w:val="0"/>
      <w:marTop w:val="0"/>
      <w:marBottom w:val="0"/>
      <w:divBdr>
        <w:top w:val="none" w:sz="0" w:space="0" w:color="auto"/>
        <w:left w:val="none" w:sz="0" w:space="0" w:color="auto"/>
        <w:bottom w:val="none" w:sz="0" w:space="0" w:color="auto"/>
        <w:right w:val="none" w:sz="0" w:space="0" w:color="auto"/>
      </w:divBdr>
    </w:div>
    <w:div w:id="409234554">
      <w:bodyDiv w:val="1"/>
      <w:marLeft w:val="0"/>
      <w:marRight w:val="0"/>
      <w:marTop w:val="0"/>
      <w:marBottom w:val="0"/>
      <w:divBdr>
        <w:top w:val="none" w:sz="0" w:space="0" w:color="auto"/>
        <w:left w:val="none" w:sz="0" w:space="0" w:color="auto"/>
        <w:bottom w:val="none" w:sz="0" w:space="0" w:color="auto"/>
        <w:right w:val="none" w:sz="0" w:space="0" w:color="auto"/>
      </w:divBdr>
    </w:div>
    <w:div w:id="446969593">
      <w:bodyDiv w:val="1"/>
      <w:marLeft w:val="0"/>
      <w:marRight w:val="0"/>
      <w:marTop w:val="0"/>
      <w:marBottom w:val="0"/>
      <w:divBdr>
        <w:top w:val="none" w:sz="0" w:space="0" w:color="auto"/>
        <w:left w:val="none" w:sz="0" w:space="0" w:color="auto"/>
        <w:bottom w:val="none" w:sz="0" w:space="0" w:color="auto"/>
        <w:right w:val="none" w:sz="0" w:space="0" w:color="auto"/>
      </w:divBdr>
    </w:div>
    <w:div w:id="456605259">
      <w:bodyDiv w:val="1"/>
      <w:marLeft w:val="0"/>
      <w:marRight w:val="0"/>
      <w:marTop w:val="0"/>
      <w:marBottom w:val="0"/>
      <w:divBdr>
        <w:top w:val="none" w:sz="0" w:space="0" w:color="auto"/>
        <w:left w:val="none" w:sz="0" w:space="0" w:color="auto"/>
        <w:bottom w:val="none" w:sz="0" w:space="0" w:color="auto"/>
        <w:right w:val="none" w:sz="0" w:space="0" w:color="auto"/>
      </w:divBdr>
    </w:div>
    <w:div w:id="484705266">
      <w:bodyDiv w:val="1"/>
      <w:marLeft w:val="0"/>
      <w:marRight w:val="0"/>
      <w:marTop w:val="0"/>
      <w:marBottom w:val="0"/>
      <w:divBdr>
        <w:top w:val="none" w:sz="0" w:space="0" w:color="auto"/>
        <w:left w:val="none" w:sz="0" w:space="0" w:color="auto"/>
        <w:bottom w:val="none" w:sz="0" w:space="0" w:color="auto"/>
        <w:right w:val="none" w:sz="0" w:space="0" w:color="auto"/>
      </w:divBdr>
    </w:div>
    <w:div w:id="533007478">
      <w:bodyDiv w:val="1"/>
      <w:marLeft w:val="0"/>
      <w:marRight w:val="0"/>
      <w:marTop w:val="0"/>
      <w:marBottom w:val="0"/>
      <w:divBdr>
        <w:top w:val="none" w:sz="0" w:space="0" w:color="auto"/>
        <w:left w:val="none" w:sz="0" w:space="0" w:color="auto"/>
        <w:bottom w:val="none" w:sz="0" w:space="0" w:color="auto"/>
        <w:right w:val="none" w:sz="0" w:space="0" w:color="auto"/>
      </w:divBdr>
    </w:div>
    <w:div w:id="704403488">
      <w:bodyDiv w:val="1"/>
      <w:marLeft w:val="0"/>
      <w:marRight w:val="0"/>
      <w:marTop w:val="0"/>
      <w:marBottom w:val="0"/>
      <w:divBdr>
        <w:top w:val="none" w:sz="0" w:space="0" w:color="auto"/>
        <w:left w:val="none" w:sz="0" w:space="0" w:color="auto"/>
        <w:bottom w:val="none" w:sz="0" w:space="0" w:color="auto"/>
        <w:right w:val="none" w:sz="0" w:space="0" w:color="auto"/>
      </w:divBdr>
    </w:div>
    <w:div w:id="811169458">
      <w:bodyDiv w:val="1"/>
      <w:marLeft w:val="0"/>
      <w:marRight w:val="0"/>
      <w:marTop w:val="0"/>
      <w:marBottom w:val="0"/>
      <w:divBdr>
        <w:top w:val="none" w:sz="0" w:space="0" w:color="auto"/>
        <w:left w:val="none" w:sz="0" w:space="0" w:color="auto"/>
        <w:bottom w:val="none" w:sz="0" w:space="0" w:color="auto"/>
        <w:right w:val="none" w:sz="0" w:space="0" w:color="auto"/>
      </w:divBdr>
    </w:div>
    <w:div w:id="919875489">
      <w:bodyDiv w:val="1"/>
      <w:marLeft w:val="0"/>
      <w:marRight w:val="0"/>
      <w:marTop w:val="0"/>
      <w:marBottom w:val="0"/>
      <w:divBdr>
        <w:top w:val="none" w:sz="0" w:space="0" w:color="auto"/>
        <w:left w:val="none" w:sz="0" w:space="0" w:color="auto"/>
        <w:bottom w:val="none" w:sz="0" w:space="0" w:color="auto"/>
        <w:right w:val="none" w:sz="0" w:space="0" w:color="auto"/>
      </w:divBdr>
    </w:div>
    <w:div w:id="948584809">
      <w:bodyDiv w:val="1"/>
      <w:marLeft w:val="0"/>
      <w:marRight w:val="0"/>
      <w:marTop w:val="0"/>
      <w:marBottom w:val="0"/>
      <w:divBdr>
        <w:top w:val="none" w:sz="0" w:space="0" w:color="auto"/>
        <w:left w:val="none" w:sz="0" w:space="0" w:color="auto"/>
        <w:bottom w:val="none" w:sz="0" w:space="0" w:color="auto"/>
        <w:right w:val="none" w:sz="0" w:space="0" w:color="auto"/>
      </w:divBdr>
    </w:div>
    <w:div w:id="949163372">
      <w:bodyDiv w:val="1"/>
      <w:marLeft w:val="0"/>
      <w:marRight w:val="0"/>
      <w:marTop w:val="0"/>
      <w:marBottom w:val="0"/>
      <w:divBdr>
        <w:top w:val="none" w:sz="0" w:space="0" w:color="auto"/>
        <w:left w:val="none" w:sz="0" w:space="0" w:color="auto"/>
        <w:bottom w:val="none" w:sz="0" w:space="0" w:color="auto"/>
        <w:right w:val="none" w:sz="0" w:space="0" w:color="auto"/>
      </w:divBdr>
      <w:divsChild>
        <w:div w:id="1326781199">
          <w:marLeft w:val="-45"/>
          <w:marRight w:val="0"/>
          <w:marTop w:val="0"/>
          <w:marBottom w:val="0"/>
          <w:divBdr>
            <w:top w:val="single" w:sz="6" w:space="0" w:color="FFFFFF"/>
            <w:left w:val="single" w:sz="6" w:space="0" w:color="FFFFFF"/>
            <w:bottom w:val="single" w:sz="6" w:space="0" w:color="FFFFFF"/>
            <w:right w:val="single" w:sz="6" w:space="0" w:color="FFFFFF"/>
          </w:divBdr>
        </w:div>
        <w:div w:id="559940866">
          <w:marLeft w:val="0"/>
          <w:marRight w:val="0"/>
          <w:marTop w:val="0"/>
          <w:marBottom w:val="0"/>
          <w:divBdr>
            <w:top w:val="none" w:sz="0" w:space="0" w:color="auto"/>
            <w:left w:val="none" w:sz="0" w:space="0" w:color="auto"/>
            <w:bottom w:val="none" w:sz="0" w:space="0" w:color="auto"/>
            <w:right w:val="none" w:sz="0" w:space="0" w:color="auto"/>
          </w:divBdr>
        </w:div>
      </w:divsChild>
    </w:div>
    <w:div w:id="952052720">
      <w:bodyDiv w:val="1"/>
      <w:marLeft w:val="0"/>
      <w:marRight w:val="0"/>
      <w:marTop w:val="0"/>
      <w:marBottom w:val="0"/>
      <w:divBdr>
        <w:top w:val="none" w:sz="0" w:space="0" w:color="auto"/>
        <w:left w:val="none" w:sz="0" w:space="0" w:color="auto"/>
        <w:bottom w:val="none" w:sz="0" w:space="0" w:color="auto"/>
        <w:right w:val="none" w:sz="0" w:space="0" w:color="auto"/>
      </w:divBdr>
    </w:div>
    <w:div w:id="986780663">
      <w:bodyDiv w:val="1"/>
      <w:marLeft w:val="0"/>
      <w:marRight w:val="0"/>
      <w:marTop w:val="0"/>
      <w:marBottom w:val="0"/>
      <w:divBdr>
        <w:top w:val="none" w:sz="0" w:space="0" w:color="auto"/>
        <w:left w:val="none" w:sz="0" w:space="0" w:color="auto"/>
        <w:bottom w:val="none" w:sz="0" w:space="0" w:color="auto"/>
        <w:right w:val="none" w:sz="0" w:space="0" w:color="auto"/>
      </w:divBdr>
    </w:div>
    <w:div w:id="1153182502">
      <w:bodyDiv w:val="1"/>
      <w:marLeft w:val="0"/>
      <w:marRight w:val="0"/>
      <w:marTop w:val="0"/>
      <w:marBottom w:val="0"/>
      <w:divBdr>
        <w:top w:val="none" w:sz="0" w:space="0" w:color="auto"/>
        <w:left w:val="none" w:sz="0" w:space="0" w:color="auto"/>
        <w:bottom w:val="none" w:sz="0" w:space="0" w:color="auto"/>
        <w:right w:val="none" w:sz="0" w:space="0" w:color="auto"/>
      </w:divBdr>
      <w:divsChild>
        <w:div w:id="229928260">
          <w:marLeft w:val="-300"/>
          <w:marRight w:val="-300"/>
          <w:marTop w:val="0"/>
          <w:marBottom w:val="0"/>
          <w:divBdr>
            <w:top w:val="single" w:sz="6" w:space="8" w:color="DFE1E5"/>
            <w:left w:val="single" w:sz="6" w:space="15" w:color="DFE1E5"/>
            <w:bottom w:val="single" w:sz="6" w:space="8" w:color="DFE1E5"/>
            <w:right w:val="single" w:sz="6" w:space="15" w:color="DFE1E5"/>
          </w:divBdr>
          <w:divsChild>
            <w:div w:id="490951322">
              <w:marLeft w:val="0"/>
              <w:marRight w:val="0"/>
              <w:marTop w:val="0"/>
              <w:marBottom w:val="0"/>
              <w:divBdr>
                <w:top w:val="none" w:sz="0" w:space="0" w:color="auto"/>
                <w:left w:val="none" w:sz="0" w:space="0" w:color="auto"/>
                <w:bottom w:val="none" w:sz="0" w:space="0" w:color="auto"/>
                <w:right w:val="none" w:sz="0" w:space="0" w:color="auto"/>
              </w:divBdr>
              <w:divsChild>
                <w:div w:id="586883252">
                  <w:marLeft w:val="0"/>
                  <w:marRight w:val="0"/>
                  <w:marTop w:val="0"/>
                  <w:marBottom w:val="0"/>
                  <w:divBdr>
                    <w:top w:val="none" w:sz="0" w:space="0" w:color="auto"/>
                    <w:left w:val="none" w:sz="0" w:space="0" w:color="auto"/>
                    <w:bottom w:val="none" w:sz="0" w:space="0" w:color="auto"/>
                    <w:right w:val="none" w:sz="0" w:space="0" w:color="auto"/>
                  </w:divBdr>
                  <w:divsChild>
                    <w:div w:id="1449662466">
                      <w:marLeft w:val="0"/>
                      <w:marRight w:val="0"/>
                      <w:marTop w:val="0"/>
                      <w:marBottom w:val="0"/>
                      <w:divBdr>
                        <w:top w:val="none" w:sz="0" w:space="0" w:color="auto"/>
                        <w:left w:val="none" w:sz="0" w:space="0" w:color="auto"/>
                        <w:bottom w:val="none" w:sz="0" w:space="0" w:color="auto"/>
                        <w:right w:val="none" w:sz="0" w:space="0" w:color="auto"/>
                      </w:divBdr>
                      <w:divsChild>
                        <w:div w:id="2121218461">
                          <w:marLeft w:val="0"/>
                          <w:marRight w:val="0"/>
                          <w:marTop w:val="0"/>
                          <w:marBottom w:val="0"/>
                          <w:divBdr>
                            <w:top w:val="none" w:sz="0" w:space="0" w:color="auto"/>
                            <w:left w:val="none" w:sz="0" w:space="0" w:color="auto"/>
                            <w:bottom w:val="none" w:sz="0" w:space="0" w:color="auto"/>
                            <w:right w:val="none" w:sz="0" w:space="0" w:color="auto"/>
                          </w:divBdr>
                          <w:divsChild>
                            <w:div w:id="1345862883">
                              <w:marLeft w:val="0"/>
                              <w:marRight w:val="0"/>
                              <w:marTop w:val="0"/>
                              <w:marBottom w:val="0"/>
                              <w:divBdr>
                                <w:top w:val="none" w:sz="0" w:space="0" w:color="auto"/>
                                <w:left w:val="none" w:sz="0" w:space="0" w:color="auto"/>
                                <w:bottom w:val="none" w:sz="0" w:space="0" w:color="auto"/>
                                <w:right w:val="none" w:sz="0" w:space="0" w:color="auto"/>
                              </w:divBdr>
                            </w:div>
                            <w:div w:id="2109690489">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1645231705">
          <w:marLeft w:val="0"/>
          <w:marRight w:val="0"/>
          <w:marTop w:val="0"/>
          <w:marBottom w:val="0"/>
          <w:divBdr>
            <w:top w:val="none" w:sz="0" w:space="0" w:color="auto"/>
            <w:left w:val="none" w:sz="0" w:space="0" w:color="auto"/>
            <w:bottom w:val="none" w:sz="0" w:space="0" w:color="auto"/>
            <w:right w:val="none" w:sz="0" w:space="0" w:color="auto"/>
          </w:divBdr>
        </w:div>
      </w:divsChild>
    </w:div>
    <w:div w:id="1164589389">
      <w:bodyDiv w:val="1"/>
      <w:marLeft w:val="0"/>
      <w:marRight w:val="0"/>
      <w:marTop w:val="0"/>
      <w:marBottom w:val="0"/>
      <w:divBdr>
        <w:top w:val="none" w:sz="0" w:space="0" w:color="auto"/>
        <w:left w:val="none" w:sz="0" w:space="0" w:color="auto"/>
        <w:bottom w:val="none" w:sz="0" w:space="0" w:color="auto"/>
        <w:right w:val="none" w:sz="0" w:space="0" w:color="auto"/>
      </w:divBdr>
    </w:div>
    <w:div w:id="1269507125">
      <w:bodyDiv w:val="1"/>
      <w:marLeft w:val="0"/>
      <w:marRight w:val="0"/>
      <w:marTop w:val="0"/>
      <w:marBottom w:val="0"/>
      <w:divBdr>
        <w:top w:val="none" w:sz="0" w:space="0" w:color="auto"/>
        <w:left w:val="none" w:sz="0" w:space="0" w:color="auto"/>
        <w:bottom w:val="none" w:sz="0" w:space="0" w:color="auto"/>
        <w:right w:val="none" w:sz="0" w:space="0" w:color="auto"/>
      </w:divBdr>
    </w:div>
    <w:div w:id="1284069583">
      <w:bodyDiv w:val="1"/>
      <w:marLeft w:val="0"/>
      <w:marRight w:val="0"/>
      <w:marTop w:val="0"/>
      <w:marBottom w:val="0"/>
      <w:divBdr>
        <w:top w:val="none" w:sz="0" w:space="0" w:color="auto"/>
        <w:left w:val="none" w:sz="0" w:space="0" w:color="auto"/>
        <w:bottom w:val="none" w:sz="0" w:space="0" w:color="auto"/>
        <w:right w:val="none" w:sz="0" w:space="0" w:color="auto"/>
      </w:divBdr>
    </w:div>
    <w:div w:id="1309017824">
      <w:bodyDiv w:val="1"/>
      <w:marLeft w:val="0"/>
      <w:marRight w:val="0"/>
      <w:marTop w:val="0"/>
      <w:marBottom w:val="0"/>
      <w:divBdr>
        <w:top w:val="none" w:sz="0" w:space="0" w:color="auto"/>
        <w:left w:val="none" w:sz="0" w:space="0" w:color="auto"/>
        <w:bottom w:val="none" w:sz="0" w:space="0" w:color="auto"/>
        <w:right w:val="none" w:sz="0" w:space="0" w:color="auto"/>
      </w:divBdr>
    </w:div>
    <w:div w:id="1323386634">
      <w:bodyDiv w:val="1"/>
      <w:marLeft w:val="0"/>
      <w:marRight w:val="0"/>
      <w:marTop w:val="0"/>
      <w:marBottom w:val="0"/>
      <w:divBdr>
        <w:top w:val="none" w:sz="0" w:space="0" w:color="auto"/>
        <w:left w:val="none" w:sz="0" w:space="0" w:color="auto"/>
        <w:bottom w:val="none" w:sz="0" w:space="0" w:color="auto"/>
        <w:right w:val="none" w:sz="0" w:space="0" w:color="auto"/>
      </w:divBdr>
    </w:div>
    <w:div w:id="1455556277">
      <w:bodyDiv w:val="1"/>
      <w:marLeft w:val="0"/>
      <w:marRight w:val="0"/>
      <w:marTop w:val="0"/>
      <w:marBottom w:val="0"/>
      <w:divBdr>
        <w:top w:val="none" w:sz="0" w:space="0" w:color="auto"/>
        <w:left w:val="none" w:sz="0" w:space="0" w:color="auto"/>
        <w:bottom w:val="none" w:sz="0" w:space="0" w:color="auto"/>
        <w:right w:val="none" w:sz="0" w:space="0" w:color="auto"/>
      </w:divBdr>
    </w:div>
    <w:div w:id="1464885174">
      <w:bodyDiv w:val="1"/>
      <w:marLeft w:val="0"/>
      <w:marRight w:val="0"/>
      <w:marTop w:val="0"/>
      <w:marBottom w:val="0"/>
      <w:divBdr>
        <w:top w:val="none" w:sz="0" w:space="0" w:color="auto"/>
        <w:left w:val="none" w:sz="0" w:space="0" w:color="auto"/>
        <w:bottom w:val="none" w:sz="0" w:space="0" w:color="auto"/>
        <w:right w:val="none" w:sz="0" w:space="0" w:color="auto"/>
      </w:divBdr>
    </w:div>
    <w:div w:id="1480686108">
      <w:bodyDiv w:val="1"/>
      <w:marLeft w:val="0"/>
      <w:marRight w:val="0"/>
      <w:marTop w:val="0"/>
      <w:marBottom w:val="0"/>
      <w:divBdr>
        <w:top w:val="none" w:sz="0" w:space="0" w:color="auto"/>
        <w:left w:val="none" w:sz="0" w:space="0" w:color="auto"/>
        <w:bottom w:val="none" w:sz="0" w:space="0" w:color="auto"/>
        <w:right w:val="none" w:sz="0" w:space="0" w:color="auto"/>
      </w:divBdr>
    </w:div>
    <w:div w:id="1485393069">
      <w:bodyDiv w:val="1"/>
      <w:marLeft w:val="0"/>
      <w:marRight w:val="0"/>
      <w:marTop w:val="0"/>
      <w:marBottom w:val="0"/>
      <w:divBdr>
        <w:top w:val="none" w:sz="0" w:space="0" w:color="auto"/>
        <w:left w:val="none" w:sz="0" w:space="0" w:color="auto"/>
        <w:bottom w:val="none" w:sz="0" w:space="0" w:color="auto"/>
        <w:right w:val="none" w:sz="0" w:space="0" w:color="auto"/>
      </w:divBdr>
    </w:div>
    <w:div w:id="1558394555">
      <w:bodyDiv w:val="1"/>
      <w:marLeft w:val="0"/>
      <w:marRight w:val="0"/>
      <w:marTop w:val="0"/>
      <w:marBottom w:val="0"/>
      <w:divBdr>
        <w:top w:val="none" w:sz="0" w:space="0" w:color="auto"/>
        <w:left w:val="none" w:sz="0" w:space="0" w:color="auto"/>
        <w:bottom w:val="none" w:sz="0" w:space="0" w:color="auto"/>
        <w:right w:val="none" w:sz="0" w:space="0" w:color="auto"/>
      </w:divBdr>
    </w:div>
    <w:div w:id="1586526338">
      <w:bodyDiv w:val="1"/>
      <w:marLeft w:val="0"/>
      <w:marRight w:val="0"/>
      <w:marTop w:val="0"/>
      <w:marBottom w:val="0"/>
      <w:divBdr>
        <w:top w:val="none" w:sz="0" w:space="0" w:color="auto"/>
        <w:left w:val="none" w:sz="0" w:space="0" w:color="auto"/>
        <w:bottom w:val="none" w:sz="0" w:space="0" w:color="auto"/>
        <w:right w:val="none" w:sz="0" w:space="0" w:color="auto"/>
      </w:divBdr>
    </w:div>
    <w:div w:id="1748066776">
      <w:bodyDiv w:val="1"/>
      <w:marLeft w:val="0"/>
      <w:marRight w:val="0"/>
      <w:marTop w:val="0"/>
      <w:marBottom w:val="0"/>
      <w:divBdr>
        <w:top w:val="none" w:sz="0" w:space="0" w:color="auto"/>
        <w:left w:val="none" w:sz="0" w:space="0" w:color="auto"/>
        <w:bottom w:val="none" w:sz="0" w:space="0" w:color="auto"/>
        <w:right w:val="none" w:sz="0" w:space="0" w:color="auto"/>
      </w:divBdr>
    </w:div>
    <w:div w:id="1764110783">
      <w:bodyDiv w:val="1"/>
      <w:marLeft w:val="0"/>
      <w:marRight w:val="0"/>
      <w:marTop w:val="0"/>
      <w:marBottom w:val="0"/>
      <w:divBdr>
        <w:top w:val="none" w:sz="0" w:space="0" w:color="auto"/>
        <w:left w:val="none" w:sz="0" w:space="0" w:color="auto"/>
        <w:bottom w:val="none" w:sz="0" w:space="0" w:color="auto"/>
        <w:right w:val="none" w:sz="0" w:space="0" w:color="auto"/>
      </w:divBdr>
    </w:div>
    <w:div w:id="1808205367">
      <w:bodyDiv w:val="1"/>
      <w:marLeft w:val="0"/>
      <w:marRight w:val="0"/>
      <w:marTop w:val="0"/>
      <w:marBottom w:val="0"/>
      <w:divBdr>
        <w:top w:val="none" w:sz="0" w:space="0" w:color="auto"/>
        <w:left w:val="none" w:sz="0" w:space="0" w:color="auto"/>
        <w:bottom w:val="none" w:sz="0" w:space="0" w:color="auto"/>
        <w:right w:val="none" w:sz="0" w:space="0" w:color="auto"/>
      </w:divBdr>
    </w:div>
    <w:div w:id="1822232449">
      <w:bodyDiv w:val="1"/>
      <w:marLeft w:val="0"/>
      <w:marRight w:val="0"/>
      <w:marTop w:val="0"/>
      <w:marBottom w:val="0"/>
      <w:divBdr>
        <w:top w:val="none" w:sz="0" w:space="0" w:color="auto"/>
        <w:left w:val="none" w:sz="0" w:space="0" w:color="auto"/>
        <w:bottom w:val="none" w:sz="0" w:space="0" w:color="auto"/>
        <w:right w:val="none" w:sz="0" w:space="0" w:color="auto"/>
      </w:divBdr>
    </w:div>
    <w:div w:id="1842156609">
      <w:bodyDiv w:val="1"/>
      <w:marLeft w:val="0"/>
      <w:marRight w:val="0"/>
      <w:marTop w:val="0"/>
      <w:marBottom w:val="0"/>
      <w:divBdr>
        <w:top w:val="none" w:sz="0" w:space="0" w:color="auto"/>
        <w:left w:val="none" w:sz="0" w:space="0" w:color="auto"/>
        <w:bottom w:val="none" w:sz="0" w:space="0" w:color="auto"/>
        <w:right w:val="none" w:sz="0" w:space="0" w:color="auto"/>
      </w:divBdr>
    </w:div>
    <w:div w:id="1842502967">
      <w:bodyDiv w:val="1"/>
      <w:marLeft w:val="0"/>
      <w:marRight w:val="0"/>
      <w:marTop w:val="0"/>
      <w:marBottom w:val="0"/>
      <w:divBdr>
        <w:top w:val="none" w:sz="0" w:space="0" w:color="auto"/>
        <w:left w:val="none" w:sz="0" w:space="0" w:color="auto"/>
        <w:bottom w:val="none" w:sz="0" w:space="0" w:color="auto"/>
        <w:right w:val="none" w:sz="0" w:space="0" w:color="auto"/>
      </w:divBdr>
    </w:div>
    <w:div w:id="1913808623">
      <w:bodyDiv w:val="1"/>
      <w:marLeft w:val="0"/>
      <w:marRight w:val="0"/>
      <w:marTop w:val="0"/>
      <w:marBottom w:val="0"/>
      <w:divBdr>
        <w:top w:val="none" w:sz="0" w:space="0" w:color="auto"/>
        <w:left w:val="none" w:sz="0" w:space="0" w:color="auto"/>
        <w:bottom w:val="none" w:sz="0" w:space="0" w:color="auto"/>
        <w:right w:val="none" w:sz="0" w:space="0" w:color="auto"/>
      </w:divBdr>
    </w:div>
    <w:div w:id="1946770981">
      <w:bodyDiv w:val="1"/>
      <w:marLeft w:val="0"/>
      <w:marRight w:val="0"/>
      <w:marTop w:val="0"/>
      <w:marBottom w:val="0"/>
      <w:divBdr>
        <w:top w:val="none" w:sz="0" w:space="0" w:color="auto"/>
        <w:left w:val="none" w:sz="0" w:space="0" w:color="auto"/>
        <w:bottom w:val="none" w:sz="0" w:space="0" w:color="auto"/>
        <w:right w:val="none" w:sz="0" w:space="0" w:color="auto"/>
      </w:divBdr>
    </w:div>
    <w:div w:id="2046249886">
      <w:bodyDiv w:val="1"/>
      <w:marLeft w:val="0"/>
      <w:marRight w:val="0"/>
      <w:marTop w:val="0"/>
      <w:marBottom w:val="0"/>
      <w:divBdr>
        <w:top w:val="none" w:sz="0" w:space="0" w:color="auto"/>
        <w:left w:val="none" w:sz="0" w:space="0" w:color="auto"/>
        <w:bottom w:val="none" w:sz="0" w:space="0" w:color="auto"/>
        <w:right w:val="none" w:sz="0" w:space="0" w:color="auto"/>
      </w:divBdr>
    </w:div>
    <w:div w:id="2105296192">
      <w:bodyDiv w:val="1"/>
      <w:marLeft w:val="0"/>
      <w:marRight w:val="0"/>
      <w:marTop w:val="0"/>
      <w:marBottom w:val="0"/>
      <w:divBdr>
        <w:top w:val="none" w:sz="0" w:space="0" w:color="auto"/>
        <w:left w:val="none" w:sz="0" w:space="0" w:color="auto"/>
        <w:bottom w:val="none" w:sz="0" w:space="0" w:color="auto"/>
        <w:right w:val="none" w:sz="0" w:space="0" w:color="auto"/>
      </w:divBdr>
    </w:div>
    <w:div w:id="212850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tramiss.gob.es/es/sec_trabajo/debes_saber/desplazamiento-trabajadores-eng/index.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gov.sk/?site_lang=en&amp;t=46&amp;s=198&amp;id_f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di.lt/Forms/Tema.aspx?Tema_ID=5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ip.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7959A-D7A2-4BB5-85B8-B4B430AF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7206</Words>
  <Characters>42445</Characters>
  <Application>Microsoft Office Word</Application>
  <DocSecurity>0</DocSecurity>
  <Lines>707</Lines>
  <Paragraphs>277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HP</Company>
  <LinksUpToDate>false</LinksUpToDate>
  <CharactersWithSpaces>49374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opzz</dc:creator>
  <cp:lastModifiedBy>Georgiana Rotaru</cp:lastModifiedBy>
  <cp:revision>2</cp:revision>
  <dcterms:created xsi:type="dcterms:W3CDTF">2019-01-08T17:14:00Z</dcterms:created>
  <dcterms:modified xsi:type="dcterms:W3CDTF">2019-01-08T17:14:00Z</dcterms:modified>
</cp:coreProperties>
</file>